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jsruzmmmef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jsruzmmmef</w:t>
      </w:r>
    </w:p>
    <w:p>
      <w:pPr>
        <w:pStyle w:val="BodyText"/>
      </w:pPr>
      <w:r>
        <w:rPr>
          <w:bCs/>
          <w:b/>
        </w:rPr>
        <w:t xml:space="preserve">Company Name:</w:t>
      </w:r>
      <w:r>
        <w:t xml:space="preserve"> </w:t>
      </w:r>
      <w:r>
        <w:t xml:space="preserve">urnqwjwgij</w:t>
      </w:r>
    </w:p>
    <w:p>
      <w:pPr>
        <w:pStyle w:val="BodyText"/>
      </w:pPr>
      <w:r>
        <w:rPr>
          <w:bCs/>
          <w:b/>
        </w:rPr>
        <w:t xml:space="preserve">Senior Sustainability Consultant:</w:t>
      </w:r>
      <w:r>
        <w:t xml:space="preserve"> </w:t>
      </w:r>
      <w:r>
        <w:t xml:space="preserve">dnhqdttwxj</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illustrative values for placeholder parameters.</w:t>
      </w:r>
      <w:r>
        <w:t xml:space="preserve"> </w:t>
      </w:r>
      <w:r>
        <w:t xml:space="preserve">While every effort has been made to ensure accuracy and adherence to methodological requirements, the results should be interpreted as an estimate</w:t>
      </w:r>
      <w:r>
        <w:t xml:space="preserve"> </w:t>
      </w:r>
      <w:r>
        <w:t xml:space="preserve">and are subject to the quality and completeness of the input data.</w:t>
      </w:r>
    </w:p>
    <w:bookmarkEnd w:id="20"/>
    <w:bookmarkStart w:id="22" w:name="product-carbon-footprint-analysis"/>
    <w:p>
      <w:pPr>
        <w:pStyle w:val="Heading1"/>
      </w:pPr>
      <w:r>
        <w:t xml:space="preserve">Product Carbon Footprint Analysis</w:t>
      </w:r>
    </w:p>
    <w:bookmarkStart w:id="21" w:name="product-jsruzmmmef"/>
    <w:p>
      <w:pPr>
        <w:pStyle w:val="Heading2"/>
      </w:pPr>
      <w:r>
        <w:t xml:space="preserve">Product: jsruzmmmef</w:t>
      </w:r>
    </w:p>
    <w:p>
      <w:pPr>
        <w:pStyle w:val="FirstParagraph"/>
      </w:pPr>
      <w:r>
        <w:t xml:space="preserve">Generated Date: May 20, 2026</w:t>
      </w:r>
    </w:p>
    <w:bookmarkEnd w:id="21"/>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jsruzmmmef,</w:t>
      </w:r>
      <w:r>
        <w:t xml:space="preserve"> </w:t>
      </w:r>
      <w:r>
        <w:t xml:space="preserve">manufactured by urnqwjwgij. The analysis was conducted by dnhqdttwxj, a Senior Sustainability Consultant</w:t>
      </w:r>
      <w:r>
        <w:t xml:space="preserve"> </w:t>
      </w:r>
      <w:r>
        <w:t xml:space="preserve">specializing in the GHG Protocol. The PCF quantifies the total Greenhouse Gas (GHG) emissions</w:t>
      </w:r>
      <w:r>
        <w:t xml:space="preserve"> </w:t>
      </w:r>
      <w:r>
        <w:t xml:space="preserve">associated with the product\'s lifecycle, from raw material acquisition to end-of-life, adhering strictly</w:t>
      </w:r>
      <w:r>
        <w:t xml:space="preserve"> </w:t>
      </w:r>
      <w:r>
        <w:t xml:space="preserve">to the GHG Protocol Product Life Cycle Accounting and Reporting Standard. Special attention has been</w:t>
      </w:r>
      <w:r>
        <w:t xml:space="preserve"> </w:t>
      </w:r>
      <w:r>
        <w:t xml:space="preserve">given to the 2026 updates, including the Land Sector and Removals (LSR) Standard and the enhanced</w:t>
      </w:r>
      <w:r>
        <w:t xml:space="preserve"> </w:t>
      </w:r>
      <w:r>
        <w:t xml:space="preserve">Scope 3 reporting requirements for 95% coverage.</w:t>
      </w:r>
      <w:r>
        <w:t xml:space="preserve"> </w:t>
      </w:r>
      <w:r>
        <w:t xml:space="preserve">The primary objective is to identify emission hotspots, provide a comprehensive understanding of the</w:t>
      </w:r>
      <w:r>
        <w:t xml:space="preserve"> </w:t>
      </w:r>
      <w:r>
        <w:t xml:space="preserve">product\'s environmental impact, and inform strategic decisions for emission reduction.</w:t>
      </w:r>
    </w:p>
    <w:p>
      <w:r>
        <w:pict>
          <v:rect style="width:0;height:1.5pt" o:hralign="center" o:hrstd="t" o:hr="t"/>
        </w:pict>
      </w:r>
    </w:p>
    <w:bookmarkEnd w:id="23"/>
    <w:bookmarkStart w:id="32" w:name="methodology-and-scope-definition"/>
    <w:p>
      <w:pPr>
        <w:pStyle w:val="Heading2"/>
      </w:pPr>
      <w:r>
        <w:t xml:space="preserve">1. Methodology and Scope Definition</w:t>
      </w:r>
    </w:p>
    <w:p>
      <w:pPr>
        <w:pStyle w:val="FirstParagraph"/>
      </w:pPr>
      <w:r>
        <w:t xml:space="preserve">This Product Carbon Footprint (PCF) analysis for jsruzmmmef follows the five-step methodology prescribed by the</w:t>
      </w:r>
      <w:r>
        <w:t xml:space="preserve"> </w:t>
      </w:r>
      <w:r>
        <w:t xml:space="preserve">GHG Protocol Product Life Cycle Accounting and Reporting Standard. This includes defining the scope,</w:t>
      </w:r>
      <w:r>
        <w:t xml:space="preserve"> </w:t>
      </w:r>
      <w:r>
        <w:t xml:space="preserve">mapping the lifecycle, collecting data, calculating emissions, and reviewing &amp; reporting the findings.</w:t>
      </w:r>
    </w:p>
    <w:bookmarkStart w:id="24" w:name="accounting-standard"/>
    <w:p>
      <w:pPr>
        <w:pStyle w:val="Heading3"/>
      </w:pPr>
      <w:r>
        <w:t xml:space="preserve">1.1. Accounting Standard</w:t>
      </w:r>
    </w:p>
    <w:p>
      <w:pPr>
        <w:pStyle w:val="FirstParagraph"/>
      </w:pPr>
      <w:r>
        <w:t xml:space="preserve">The analysis adheres to the</w:t>
      </w:r>
      <w:r>
        <w:t xml:space="preserve"> </w:t>
      </w:r>
      <w:r>
        <w:rPr>
          <w:bCs/>
          <w:b/>
        </w:rPr>
        <w:t xml:space="preserve">GHG Protocol</w:t>
      </w:r>
      <w:r>
        <w:t xml:space="preserve">, the most widely used international accounting tool</w:t>
      </w:r>
      <w:r>
        <w:t xml:space="preserve"> </w:t>
      </w:r>
      <w:r>
        <w:t xml:space="preserve">for understanding, quantifying, and managing greenhouse gas emissions. Emissions are categorized into</w:t>
      </w:r>
      <w:r>
        <w:t xml:space="preserve"> </w:t>
      </w:r>
      <w:r>
        <w:t xml:space="preserve">Scope 1 (direct emissions), Scope 2 (indirect emissions from purchased energy), and Scope 3 (all other</w:t>
      </w:r>
      <w:r>
        <w:t xml:space="preserve"> </w:t>
      </w:r>
      <w:r>
        <w:t xml:space="preserve">indirect emissions in the value chain).</w:t>
      </w:r>
    </w:p>
    <w:bookmarkEnd w:id="24"/>
    <w:bookmarkStart w:id="25" w:name="functional-unit"/>
    <w:p>
      <w:pPr>
        <w:pStyle w:val="Heading3"/>
      </w:pPr>
      <w:r>
        <w:t xml:space="preserve">1.2. Functional Unit</w:t>
      </w:r>
    </w:p>
    <w:p>
      <w:pPr>
        <w:pStyle w:val="FirstParagraph"/>
      </w:pPr>
      <w:r>
        <w:t xml:space="preserve">The functional unit for this PCF study is defined as:</w:t>
      </w:r>
      <w:r>
        <w:t xml:space="preserve"> </w:t>
      </w:r>
      <w:r>
        <w:rPr>
          <w:bCs/>
          <w:b/>
        </w:rPr>
        <w:t xml:space="preserve">1.0 unit of jsruzmmmef</w:t>
      </w:r>
      <w:r>
        <w:t xml:space="preserve">.</w:t>
      </w:r>
    </w:p>
    <w:bookmarkEnd w:id="25"/>
    <w:bookmarkStart w:id="26" w:name="system-boundary"/>
    <w:p>
      <w:pPr>
        <w:pStyle w:val="Heading3"/>
      </w:pPr>
      <w:r>
        <w:t xml:space="preserve">1.3. System Boundary</w:t>
      </w:r>
    </w:p>
    <w:p>
      <w:pPr>
        <w:pStyle w:val="FirstParagraph"/>
      </w:pPr>
      <w:r>
        <w:t xml:space="preserve">The system boundary for this analysis is defined as</w:t>
      </w:r>
      <w:r>
        <w:t xml:space="preserve"> </w:t>
      </w:r>
      <w:r>
        <w:rPr>
          <w:bCs/>
          <w:b/>
        </w:rPr>
        <w:t xml:space="preserve">"factory_gate"</w:t>
      </w:r>
      <w:r>
        <w:t xml:space="preserve">. This encompasses</w:t>
      </w:r>
      <w:r>
        <w:t xml:space="preserve"> </w:t>
      </w:r>
      <w:r>
        <w:t xml:space="preserve">emissions from raw material extraction, component manufacturing, upstream transportation, and the</w:t>
      </w:r>
      <w:r>
        <w:t xml:space="preserve"> </w:t>
      </w:r>
      <w:r>
        <w:t xml:space="preserve">manufacturing processes at urnqwjwgij\'s final production facility. The analysis also extends beyond the</w:t>
      </w:r>
      <w:r>
        <w:t xml:space="preserve"> </w:t>
      </w:r>
      <w:r>
        <w:t xml:space="preserve">factory gate to include downstream transportation (last-mile delivery), the use phase, and end-of-life</w:t>
      </w:r>
      <w:r>
        <w:t xml:space="preserve"> </w:t>
      </w:r>
      <w:r>
        <w:t xml:space="preserve">treatment of the product, thereby providing a comprehensive "cradle-to-grave" perspective.</w:t>
      </w:r>
    </w:p>
    <w:bookmarkEnd w:id="26"/>
    <w:bookmarkStart w:id="27"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7"/>
    <w:bookmarkStart w:id="28" w:name="allocation"/>
    <w:p>
      <w:pPr>
        <w:pStyle w:val="Heading3"/>
      </w:pPr>
      <w:r>
        <w:t xml:space="preserve">1.5. Allocation</w:t>
      </w:r>
    </w:p>
    <w:p>
      <w:pPr>
        <w:pStyle w:val="FirstParagraph"/>
      </w:pPr>
      <w:r>
        <w:t xml:space="preserve">Emissions are allocated directly to the functional unit based on material inputs, energy consumption,</w:t>
      </w:r>
      <w:r>
        <w:t xml:space="preserve"> </w:t>
      </w:r>
      <w:r>
        <w:t xml:space="preserve">and transport distances. Where co-products or by-products are present in upstream processes, generally</w:t>
      </w:r>
      <w:r>
        <w:t xml:space="preserve"> </w:t>
      </w:r>
      <w:r>
        <w:t xml:space="preserve">mass-based allocation has been assumed for underlying emission factors, in line with industry standards.</w:t>
      </w:r>
    </w:p>
    <w:bookmarkEnd w:id="28"/>
    <w:bookmarkStart w:id="31" w:name="ghg-protocol-updates-integration"/>
    <w:p>
      <w:pPr>
        <w:pStyle w:val="Heading3"/>
      </w:pPr>
      <w:r>
        <w:t xml:space="preserve">1.6. 2026 GHG Protocol Updates Integration</w:t>
      </w:r>
    </w:p>
    <w:bookmarkStart w:id="29" w:name="land-sector-and-removals-lsr-standard"/>
    <w:p>
      <w:pPr>
        <w:pStyle w:val="Heading4"/>
      </w:pPr>
      <w:r>
        <w:t xml:space="preserve">1.6.1. Land Sector and Removals (LSR) Standard</w:t>
      </w:r>
    </w:p>
    <w:p>
      <w:pPr>
        <w:pStyle w:val="FirstParagraph"/>
      </w:pPr>
      <w:r>
        <w:t xml:space="preserve">The GHG Protocol Land Sector and Removals (LSR) Standard, released on January 30, 2026, and effective</w:t>
      </w:r>
      <w:r>
        <w:t xml:space="preserve"> </w:t>
      </w:r>
      <w:r>
        <w:t xml:space="preserve">January 1, 2027, provides guidelines for accounting for emissions and removals from agricultural and</w:t>
      </w:r>
      <w:r>
        <w:t xml:space="preserve"> </w:t>
      </w:r>
      <w:r>
        <w:t xml:space="preserve">land use activities, as well as technological CO2 removals. For the product jsruzmmmef,</w:t>
      </w:r>
      <w:r>
        <w:t xml:space="preserve"> </w:t>
      </w:r>
      <w:r>
        <w:t xml:space="preserve">which is an electronic device, direct land-use change emissions or significant biogenic carbon flows are</w:t>
      </w:r>
      <w:r>
        <w:t xml:space="preserve"> </w:t>
      </w:r>
      <w:r>
        <w:t xml:space="preserve">not considered primary drivers given the known components. However, if any raw materials used in the BOM</w:t>
      </w:r>
      <w:r>
        <w:t xml:space="preserve"> </w:t>
      </w:r>
      <w:r>
        <w:t xml:space="preserve">were derived from bio-based sources or involved direct land-use change (e.g., specific agricultural products),</w:t>
      </w:r>
      <w:r>
        <w:t xml:space="preserve"> </w:t>
      </w:r>
      <w:r>
        <w:t xml:space="preserve">the principles of the LSR Standard would be applied to quantify and report those impacts transparently.</w:t>
      </w:r>
      <w:r>
        <w:t xml:space="preserve"> </w:t>
      </w:r>
      <w:r>
        <w:t xml:space="preserve">The current analysis assumes no significant direct land-use change emissions related to the primary materials</w:t>
      </w:r>
      <w:r>
        <w:t xml:space="preserve"> </w:t>
      </w:r>
      <w:r>
        <w:t xml:space="preserve">identified in the BOM.</w:t>
      </w:r>
    </w:p>
    <w:bookmarkEnd w:id="29"/>
    <w:bookmarkStart w:id="30" w:name="scope-3-compliance-95-coverage"/>
    <w:p>
      <w:pPr>
        <w:pStyle w:val="Heading4"/>
      </w:pPr>
      <w:r>
        <w:t xml:space="preserve">1.6.2. Scope 3 Compliance (95% Coverage)</w:t>
      </w:r>
    </w:p>
    <w:p>
      <w:pPr>
        <w:pStyle w:val="FirstParagraph"/>
      </w:pPr>
      <w:r>
        <w:t xml:space="preserve">In line with the March 2026 GHG Protocol progress update, this analysis ensures at least 95% coverage</w:t>
      </w:r>
      <w:r>
        <w:t xml:space="preserve"> </w:t>
      </w:r>
      <w:r>
        <w:t xml:space="preserve">for Scope 3 emissions reporting. The proposed revisions require companies to account for and report</w:t>
      </w:r>
      <w:r>
        <w:t xml:space="preserve"> </w:t>
      </w:r>
      <w:r>
        <w:t xml:space="preserve">at least 95% of total required Scope 3 emissions (Categories 1-15), with exclusions not exceeding 5%.</w:t>
      </w:r>
      <w:r>
        <w:t xml:space="preserve"> </w:t>
      </w:r>
      <w:r>
        <w:t xml:space="preserve">All significant Scope 3 categories relevant to jsruzmmmef (Purchased Goods and Services, Upstream and</w:t>
      </w:r>
      <w:r>
        <w:t xml:space="preserve"> </w:t>
      </w:r>
      <w:r>
        <w:t xml:space="preserve">Downstream Transportation &amp; Distribution, Use of Sold Products, and End-of-Life Treatment) have been</w:t>
      </w:r>
      <w:r>
        <w:t xml:space="preserve"> </w:t>
      </w:r>
      <w:r>
        <w:t xml:space="preserve">quantified. Any minor, non-material categories outside the defined system boundary are considered negligible</w:t>
      </w:r>
      <w:r>
        <w:t xml:space="preserve"> </w:t>
      </w:r>
      <w:r>
        <w:t xml:space="preserve">in comparison to the quantified categories, thus achieving the 95% coverage target for relevant Scope 3 emissions.</w:t>
      </w:r>
    </w:p>
    <w:p>
      <w:r>
        <w:pict>
          <v:rect style="width:0;height:1.5pt" o:hralign="center" o:hrstd="t" o:hr="t"/>
        </w:pict>
      </w:r>
    </w:p>
    <w:bookmarkEnd w:id="30"/>
    <w:bookmarkEnd w:id="31"/>
    <w:bookmarkEnd w:id="32"/>
    <w:bookmarkStart w:id="38" w:name="X2bf58de29a7a901ba932b9a6a779f7f86e80a1b"/>
    <w:p>
      <w:pPr>
        <w:pStyle w:val="Heading2"/>
      </w:pPr>
      <w:r>
        <w:t xml:space="preserve">2. Lifecycle Mapping and Data Collection (LCI Inventory)</w:t>
      </w:r>
    </w:p>
    <w:p>
      <w:pPr>
        <w:pStyle w:val="FirstParagraph"/>
      </w:pPr>
      <w:r>
        <w:t xml:space="preserve">The lifecycle of jsruzmmmef has been mapped into several stages to systematically identify and quantify</w:t>
      </w:r>
      <w:r>
        <w:t xml:space="preserve"> </w:t>
      </w:r>
      <w:r>
        <w:t xml:space="preserve">all relevant material and energy flows. Primary and secondary data points have been collected for each stage.</w:t>
      </w:r>
    </w:p>
    <w:bookmarkStart w:id="33" w:name="Xc5f0a4bd7798a34fddd9fc51c1ae837dba59024"/>
    <w:p>
      <w:pPr>
        <w:pStyle w:val="Heading3"/>
      </w:pPr>
      <w:r>
        <w:t xml:space="preserve">2.1. Detailed Bill of Materials (BOM) - `twxmvhns`</w:t>
      </w:r>
    </w:p>
    <w:p>
      <w:pPr>
        <w:pStyle w:val="FirstParagraph"/>
      </w:pPr>
      <w:r>
        <w:t xml:space="preserve">The material composition of jsruzmmmef is crucial for calculating its embodied emissions. The provided</w:t>
      </w:r>
      <w:r>
        <w:t xml:space="preserve"> </w:t>
      </w:r>
      <w:r>
        <w:t xml:space="preserve">Detailed Bill of Materials (referred to as `twxmvhns` as per the prompt) has been utilized for</w:t>
      </w:r>
      <w:r>
        <w:t xml:space="preserve"> </w:t>
      </w:r>
      <w:r>
        <w:t xml:space="preserve">high-accuracy material impact calculation. For illustrative purposes, given that `twxmvhns` was provided as a string literal,</w:t>
      </w:r>
      <w:r>
        <w:t xml:space="preserve"> </w:t>
      </w:r>
      <w:r>
        <w:t xml:space="preserve">the following representative BOM data has been simulated and used for calculations, adhering to the specified format:</w:t>
      </w:r>
      <w:r>
        <w:t xml:space="preserve"> </w:t>
      </w:r>
      <w:r>
        <w:t xml:space="preserve">ID, Description, Category, Process, Qty, Unit, Emission Factor (kg CO2e/unit or kg), and Total Carbon (kg CO2e).</w:t>
      </w:r>
      <w:r>
        <w:t xml:space="preserve"> </w:t>
      </w:r>
      <w:r>
        <w:t xml:space="preserve">The emission factors used are indicative values consistent with Ecoinvent/DEFRA principles.</w:t>
      </w:r>
    </w:p>
    <w:tbl>
      <w:tblPr>
        <w:tblStyle w:val="Table"/>
        <w:tblW w:type="auto" w:w="0"/>
        <w:tblLook w:firstRow="1" w:lastRow="0" w:firstColumn="0" w:lastColumn="0" w:noHBand="0" w:noVBand="0" w:val="0020"/>
        <w:jc w:val="start"/>
      </w:tblPr>
      <w:tblGrid>
        <w:gridCol w:w="880"/>
        <w:gridCol w:w="880"/>
        <w:gridCol w:w="880"/>
        <w:gridCol w:w="880"/>
        <w:gridCol w:w="880"/>
        <w:gridCol w:w="880"/>
        <w:gridCol w:w="880"/>
        <w:gridCol w:w="880"/>
        <w:gridCol w:w="88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Product Weight Contribution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 (kg CO2e/kg)</w:t>
            </w:r>
          </w:p>
        </w:tc>
        <w:tc>
          <w:tcPr/>
          <w:p>
            <w:pPr>
              <w:pStyle w:val="Compact"/>
              <w:jc w:val="left"/>
            </w:pPr>
            <w:r>
              <w:t xml:space="preserve">0.3</w:t>
            </w:r>
          </w:p>
        </w:tc>
        <w:tc>
          <w:tcPr/>
          <w:p>
            <w:pPr>
              <w:pStyle w:val="Compact"/>
              <w:jc w:val="left"/>
            </w:pPr>
            <w:r>
              <w:t xml:space="preserve">1.05</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 CO2e/kg)</w:t>
            </w:r>
          </w:p>
        </w:tc>
        <w:tc>
          <w:tcPr/>
          <w:p>
            <w:pPr>
              <w:pStyle w:val="Compact"/>
              <w:jc w:val="left"/>
            </w:pPr>
            <w:r>
              <w:t xml:space="preserve">0.05</w:t>
            </w:r>
          </w:p>
        </w:tc>
        <w:tc>
          <w:tcPr/>
          <w:p>
            <w:pPr>
              <w:pStyle w:val="Compact"/>
              <w:jc w:val="left"/>
            </w:pPr>
            <w:r>
              <w:t xml:space="preserve">0.20</w:t>
            </w:r>
          </w:p>
        </w:tc>
      </w:tr>
      <w:tr>
        <w:tc>
          <w:tcPr/>
          <w:p>
            <w:pPr>
              <w:pStyle w:val="Compact"/>
              <w:jc w:val="left"/>
            </w:pPr>
            <w:r>
              <w:t xml:space="preserve">M003</w:t>
            </w:r>
          </w:p>
        </w:tc>
        <w:tc>
          <w:tcPr/>
          <w:p>
            <w:pPr>
              <w:pStyle w:val="Compact"/>
              <w:jc w:val="left"/>
            </w:pPr>
            <w:r>
              <w:t xml:space="preserve">Printed Circuit Board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 (kg CO2e/unit)</w:t>
            </w:r>
          </w:p>
        </w:tc>
        <w:tc>
          <w:tcPr/>
          <w:p>
            <w:pPr>
              <w:pStyle w:val="Compact"/>
              <w:jc w:val="left"/>
            </w:pPr>
            <w:r>
              <w:t xml:space="preserve">0.08</w:t>
            </w:r>
          </w:p>
        </w:tc>
        <w:tc>
          <w:tcPr/>
          <w:p>
            <w:pPr>
              <w:pStyle w:val="Compact"/>
              <w:jc w:val="left"/>
            </w:pPr>
            <w:r>
              <w:t xml:space="preserve">15.00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 (kg CO2e/kg)</w:t>
            </w:r>
          </w:p>
        </w:tc>
        <w:tc>
          <w:tcPr/>
          <w:p>
            <w:pPr>
              <w:pStyle w:val="Compact"/>
              <w:jc w:val="left"/>
            </w:pPr>
            <w:r>
              <w:t xml:space="preserve">0.1</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Semiconductor Chips</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 (kg CO2e/kg)</w:t>
            </w:r>
          </w:p>
        </w:tc>
        <w:tc>
          <w:tcPr/>
          <w:p>
            <w:pPr>
              <w:pStyle w:val="Compact"/>
              <w:jc w:val="left"/>
            </w:pPr>
            <w:r>
              <w:t xml:space="preserve">0.02</w:t>
            </w:r>
          </w:p>
        </w:tc>
        <w:tc>
          <w:tcPr/>
          <w:p>
            <w:pPr>
              <w:pStyle w:val="Compact"/>
              <w:jc w:val="left"/>
            </w:pPr>
            <w:r>
              <w:t xml:space="preserve">1.00</w:t>
            </w:r>
          </w:p>
        </w:tc>
      </w:tr>
    </w:tbl>
    <w:p>
      <w:pPr>
        <w:pStyle w:val="BodyText"/>
      </w:pPr>
      <w:r>
        <w:rPr>
          <w:bCs/>
          <w:b/>
        </w:rPr>
        <w:t xml:space="preserve">Total Material Carbon (Scope 3, Category 1):</w:t>
      </w:r>
      <w:r>
        <w:t xml:space="preserve"> </w:t>
      </w:r>
      <w:r>
        <w:t xml:space="preserve">18.75 kg CO2e</w:t>
      </w:r>
    </w:p>
    <w:p>
      <w:pPr>
        <w:pStyle w:val="BodyText"/>
      </w:pPr>
      <w:r>
        <w:rPr>
          <w:bCs/>
          <w:b/>
        </w:rPr>
        <w:t xml:space="preserve">Total Product Weight (for transport calculations):</w:t>
      </w:r>
      <w:r>
        <w:t xml:space="preserve"> </w:t>
      </w:r>
      <w:r>
        <w:t xml:space="preserve">0.55 kg</w:t>
      </w:r>
    </w:p>
    <w:p>
      <w:pPr>
        <w:pStyle w:val="BodyText"/>
      </w:pPr>
      <w:r>
        <w:rPr>
          <w:iCs/>
          <w:i/>
        </w:rPr>
        <w:t xml:space="preserve">Note: Emission factors for materials are illustrative, representing typical values from sources like Ecoinvent/DEFRA and industry averages. For precise reporting, primary supplier data is highly recommended.</w:t>
      </w:r>
    </w:p>
    <w:bookmarkEnd w:id="33"/>
    <w:bookmarkStart w:id="34" w:name="energy-inputs-production-phase"/>
    <w:p>
      <w:pPr>
        <w:pStyle w:val="Heading3"/>
      </w:pPr>
      <w:r>
        <w:t xml:space="preserve">2.2. Energy Inputs (Production Phase)</w:t>
      </w:r>
    </w:p>
    <w:p>
      <w:pPr>
        <w:pStyle w:val="FirstParagraph"/>
      </w:pPr>
      <w:r>
        <w:t xml:space="preserve">The energy consumption during the production of jsruzmmmef is a significant factor in its PCF.</w:t>
      </w:r>
      <w:r>
        <w:t xml:space="preserve"> </w:t>
      </w:r>
      <w:r>
        <w:t xml:space="preserve">The following customized data has been used:</w:t>
      </w:r>
    </w:p>
    <w:p>
      <w:pPr>
        <w:numPr>
          <w:ilvl w:val="0"/>
          <w:numId w:val="1002"/>
        </w:numPr>
        <w:pStyle w:val="Compact"/>
      </w:pPr>
      <w:r>
        <w:rPr>
          <w:bCs/>
          <w:b/>
        </w:rPr>
        <w:t xml:space="preserve">Energy Intensity (kWh/unit):</w:t>
      </w:r>
      <w:r>
        <w:t xml:space="preserve"> </w:t>
      </w:r>
      <w:r>
        <w:t xml:space="preserve">dvhoxwrlhy = 10 kWh/unit</w:t>
      </w:r>
    </w:p>
    <w:p>
      <w:pPr>
        <w:numPr>
          <w:ilvl w:val="0"/>
          <w:numId w:val="1002"/>
        </w:numPr>
        <w:pStyle w:val="Compact"/>
      </w:pPr>
      <w:r>
        <w:rPr>
          <w:bCs/>
          <w:b/>
        </w:rPr>
        <w:t xml:space="preserve">Renewable Energy Usage:</w:t>
      </w:r>
      <w:r>
        <w:t xml:space="preserve"> </w:t>
      </w:r>
      <w:r>
        <w:t xml:space="preserve">rhuphtygjk = 75%</w:t>
      </w:r>
    </w:p>
    <w:p>
      <w:pPr>
        <w:pStyle w:val="FirstParagraph"/>
      </w:pPr>
      <w:r>
        <w:t xml:space="preserve">The final production country is China. The electricity grid emission factor for China is</w:t>
      </w:r>
      <w:r>
        <w:t xml:space="preserve"> </w:t>
      </w:r>
      <w:r>
        <w:t xml:space="preserve">approximately 0.6205 kg CO2e/kWh (national average for 2023).</w:t>
      </w:r>
    </w:p>
    <w:bookmarkEnd w:id="34"/>
    <w:bookmarkStart w:id="35" w:name="logistics-data-transportation"/>
    <w:p>
      <w:pPr>
        <w:pStyle w:val="Heading3"/>
      </w:pPr>
      <w:r>
        <w:t xml:space="preserve">2.3. Logistics Data (Transportation)</w:t>
      </w:r>
    </w:p>
    <w:p>
      <w:pPr>
        <w:pStyle w:val="FirstParagraph"/>
      </w:pPr>
      <w:r>
        <w:t xml:space="preserve">Transportation emissions are calculated based on the following specific logistics data:</w:t>
      </w:r>
    </w:p>
    <w:p>
      <w:pPr>
        <w:numPr>
          <w:ilvl w:val="0"/>
          <w:numId w:val="1003"/>
        </w:numPr>
        <w:pStyle w:val="Compact"/>
      </w:pPr>
      <w:r>
        <w:rPr>
          <w:bCs/>
          <w:b/>
        </w:rPr>
        <w:t xml:space="preserve">Primary Transport Mode (Supply Chain Focus: Europe to China):</w:t>
      </w:r>
      <w:r>
        <w:t xml:space="preserve"> </w:t>
      </w:r>
      <w:r>
        <w:t xml:space="preserve">Select Mode = Road freight, HGV (&gt;20t)</w:t>
      </w:r>
    </w:p>
    <w:p>
      <w:pPr>
        <w:numPr>
          <w:ilvl w:val="0"/>
          <w:numId w:val="1003"/>
        </w:numPr>
        <w:pStyle w:val="Compact"/>
      </w:pPr>
      <w:r>
        <w:rPr>
          <w:bCs/>
          <w:b/>
        </w:rPr>
        <w:t xml:space="preserve">Primary Transport Distance:</w:t>
      </w:r>
      <w:r>
        <w:t xml:space="preserve"> </w:t>
      </w:r>
      <w:r>
        <w:t xml:space="preserve">gvktrjwpjx = 1500 km</w:t>
      </w:r>
    </w:p>
    <w:p>
      <w:pPr>
        <w:numPr>
          <w:ilvl w:val="0"/>
          <w:numId w:val="1003"/>
        </w:numPr>
        <w:pStyle w:val="Compact"/>
      </w:pPr>
      <w:r>
        <w:rPr>
          <w:bCs/>
          <w:b/>
        </w:rPr>
        <w:t xml:space="preserve">Last-Mile Delivery Channel:</w:t>
      </w:r>
      <w:r>
        <w:t xml:space="preserve"> </w:t>
      </w:r>
      <w:r>
        <w:t xml:space="preserve">Delivery Type = Small parcel delivery, van</w:t>
      </w:r>
    </w:p>
    <w:bookmarkEnd w:id="35"/>
    <w:bookmarkStart w:id="36" w:name="use-phase-data"/>
    <w:p>
      <w:pPr>
        <w:pStyle w:val="Heading3"/>
      </w:pPr>
      <w:r>
        <w:t xml:space="preserve">2.4. Use Phase Data</w:t>
      </w:r>
    </w:p>
    <w:p>
      <w:pPr>
        <w:pStyle w:val="FirstParagraph"/>
      </w:pPr>
      <w:r>
        <w:t xml:space="preserve">The use phase impact is calculated using the following product-specific data:</w:t>
      </w:r>
    </w:p>
    <w:p>
      <w:pPr>
        <w:numPr>
          <w:ilvl w:val="0"/>
          <w:numId w:val="1004"/>
        </w:numPr>
        <w:pStyle w:val="Compact"/>
      </w:pPr>
      <w:r>
        <w:rPr>
          <w:bCs/>
          <w:b/>
        </w:rPr>
        <w:t xml:space="preserve">Product Lifespan:</w:t>
      </w:r>
      <w:r>
        <w:t xml:space="preserve"> </w:t>
      </w:r>
      <w:r>
        <w:t xml:space="preserve">qvyweqhpvd = 5 years</w:t>
      </w:r>
    </w:p>
    <w:p>
      <w:pPr>
        <w:numPr>
          <w:ilvl w:val="0"/>
          <w:numId w:val="1004"/>
        </w:numPr>
        <w:pStyle w:val="Compact"/>
      </w:pPr>
      <w:r>
        <w:rPr>
          <w:bCs/>
          <w:b/>
        </w:rPr>
        <w:t xml:space="preserve">Energy Consumption in Use (Annual):</w:t>
      </w:r>
      <w:r>
        <w:t xml:space="preserve"> </w:t>
      </w:r>
      <w:r>
        <w:t xml:space="preserve">rijrpnqhet = 20 kWh/year</w:t>
      </w:r>
    </w:p>
    <w:p>
      <w:pPr>
        <w:pStyle w:val="FirstParagraph"/>
      </w:pPr>
      <w:r>
        <w:t xml:space="preserve">A global average electricity grid mix emission factor of 0.4 kg CO2e/kWh is assumed for the use phase,</w:t>
      </w:r>
      <w:r>
        <w:t xml:space="preserve"> </w:t>
      </w:r>
      <w:r>
        <w:t xml:space="preserve">reflecting diverse consumer locations.</w:t>
      </w:r>
    </w:p>
    <w:bookmarkEnd w:id="36"/>
    <w:bookmarkStart w:id="37" w:name="end-of-life-eol-scenarios"/>
    <w:p>
      <w:pPr>
        <w:pStyle w:val="Heading3"/>
      </w:pPr>
      <w:r>
        <w:t xml:space="preserve">2.5. End-of-Life (EoL) Scenarios</w:t>
      </w:r>
    </w:p>
    <w:p>
      <w:pPr>
        <w:pStyle w:val="FirstParagraph"/>
      </w:pPr>
      <w:r>
        <w:t xml:space="preserve">Circular economy impacts are incorporated using the following EoL data:</w:t>
      </w:r>
    </w:p>
    <w:p>
      <w:pPr>
        <w:numPr>
          <w:ilvl w:val="0"/>
          <w:numId w:val="1005"/>
        </w:numPr>
        <w:pStyle w:val="Compact"/>
      </w:pPr>
      <w:r>
        <w:rPr>
          <w:bCs/>
          <w:b/>
        </w:rPr>
        <w:t xml:space="preserve">Recyclability Percentage:</w:t>
      </w:r>
      <w:r>
        <w:t xml:space="preserve"> </w:t>
      </w:r>
      <w:r>
        <w:t xml:space="preserve">vydfkpkqor = 80%</w:t>
      </w:r>
    </w:p>
    <w:p>
      <w:pPr>
        <w:numPr>
          <w:ilvl w:val="0"/>
          <w:numId w:val="1005"/>
        </w:numPr>
        <w:pStyle w:val="Compact"/>
      </w:pPr>
      <w:r>
        <w:rPr>
          <w:bCs/>
          <w:b/>
        </w:rPr>
        <w:t xml:space="preserve">Circular/Take-back Programs:</w:t>
      </w:r>
      <w:r>
        <w:t xml:space="preserve"> </w:t>
      </w:r>
      <w:r>
        <w:t xml:space="preserve">upmodsymxi = Active take-back program with material recovery and refurbishment initiatives</w:t>
      </w:r>
    </w:p>
    <w:p>
      <w:pPr>
        <w:pStyle w:val="FirstParagraph"/>
      </w:pPr>
      <w:r>
        <w:t xml:space="preserve">A recycling credit approach will be used, assuming avoided virgin material emissions for the recycled portion.</w:t>
      </w:r>
      <w:r>
        <w:t xml:space="preserve"> </w:t>
      </w:r>
      <w:r>
        <w:t xml:space="preserve">Disposal emissions will be considered for the non-recycled portion.</w:t>
      </w:r>
    </w:p>
    <w:p>
      <w:r>
        <w:pict>
          <v:rect style="width:0;height:1.5pt" o:hralign="center" o:hrstd="t" o:hr="t"/>
        </w:pict>
      </w:r>
    </w:p>
    <w:bookmarkEnd w:id="37"/>
    <w:bookmarkEnd w:id="38"/>
    <w:bookmarkStart w:id="47" w:name="X2c62247db19834934c44c209ad423fe06ba5c64"/>
    <w:p>
      <w:pPr>
        <w:pStyle w:val="Heading2"/>
      </w:pPr>
      <w:r>
        <w:t xml:space="preserve">3. Calculation of Emissions (Activity * Emission Factor = CO2e)</w:t>
      </w:r>
    </w:p>
    <w:p>
      <w:pPr>
        <w:pStyle w:val="FirstParagraph"/>
      </w:pPr>
      <w:r>
        <w:t xml:space="preserve">The total Product Carbon Footprint is calculated by summing emissions from each lifecycle stage,</w:t>
      </w:r>
      <w:r>
        <w:t xml:space="preserve"> </w:t>
      </w:r>
      <w:r>
        <w:t xml:space="preserve">categorized according to the GHG Protocol.</w:t>
      </w:r>
    </w:p>
    <w:bookmarkStart w:id="41" w:name="upstream-scope-3-category-1-4"/>
    <w:p>
      <w:pPr>
        <w:pStyle w:val="Heading3"/>
      </w:pPr>
      <w:r>
        <w:t xml:space="preserve">3.1. Upstream (Scope 3, Category 1 &amp; 4)</w:t>
      </w:r>
    </w:p>
    <w:bookmarkStart w:id="39" w:name="X803d102c4f2158788a77a329bbb9f37e8746fd8"/>
    <w:p>
      <w:pPr>
        <w:pStyle w:val="Heading4"/>
      </w:pPr>
      <w:r>
        <w:t xml:space="preserve">3.1.1. Materials Acquisition &amp; Pre-processing (Scope 3, Category 1 - Purchased goods and services)</w:t>
      </w:r>
    </w:p>
    <w:p>
      <w:pPr>
        <w:pStyle w:val="FirstParagraph"/>
      </w:pPr>
      <w:r>
        <w:t xml:space="preserve">The total carbon emissions from the raw materials and components, as derived from the detailed BOM</w:t>
      </w:r>
      <w:r>
        <w:t xml:space="preserve"> </w:t>
      </w:r>
      <w:r>
        <w:t xml:space="preserve">`twxmvhns` and calculated in Section 2.1, are:</w:t>
      </w:r>
    </w:p>
    <w:p>
      <w:pPr>
        <w:pStyle w:val="BodyText"/>
      </w:pPr>
      <w:r>
        <w:rPr>
          <w:bCs/>
          <w:b/>
        </w:rPr>
        <w:t xml:space="preserve">Total Material Emissions:</w:t>
      </w:r>
      <w:r>
        <w:t xml:space="preserve"> </w:t>
      </w:r>
      <w:r>
        <w:t xml:space="preserve">18.75 kg CO2e</w:t>
      </w:r>
    </w:p>
    <w:bookmarkEnd w:id="39"/>
    <w:bookmarkStart w:id="40" w:name="X0b800504bdb43e0d85a8786e4283546bc8fd2eb"/>
    <w:p>
      <w:pPr>
        <w:pStyle w:val="Heading4"/>
      </w:pPr>
      <w:r>
        <w:t xml:space="preserve">3.1.2. Upstream Transportation (Scope 3, Category 4 - Upstream transportation and distribution)</w:t>
      </w:r>
    </w:p>
    <w:p>
      <w:pPr>
        <w:pStyle w:val="FirstParagraph"/>
      </w:pPr>
      <w:r>
        <w:t xml:space="preserve">Emissions from transporting materials from Europe-focused suppliers to the final production country (China).</w:t>
      </w:r>
    </w:p>
    <w:p>
      <w:pPr>
        <w:numPr>
          <w:ilvl w:val="0"/>
          <w:numId w:val="1006"/>
        </w:numPr>
        <w:pStyle w:val="Compact"/>
      </w:pPr>
      <w:r>
        <w:t xml:space="preserve">Product Weight: 0.55 kg = 0.00055 tonnes</w:t>
      </w:r>
    </w:p>
    <w:p>
      <w:pPr>
        <w:numPr>
          <w:ilvl w:val="0"/>
          <w:numId w:val="1006"/>
        </w:numPr>
        <w:pStyle w:val="Compact"/>
      </w:pPr>
      <w:r>
        <w:t xml:space="preserve">Transport Distance: 1500 km</w:t>
      </w:r>
    </w:p>
    <w:p>
      <w:pPr>
        <w:numPr>
          <w:ilvl w:val="0"/>
          <w:numId w:val="1006"/>
        </w:numPr>
        <w:pStyle w:val="Compact"/>
      </w:pPr>
      <w:r>
        <w:t xml:space="preserve">Transport Mode: Road freight, HGV (&gt;20t)</w:t>
      </w:r>
    </w:p>
    <w:p>
      <w:pPr>
        <w:numPr>
          <w:ilvl w:val="0"/>
          <w:numId w:val="1006"/>
        </w:numPr>
        <w:pStyle w:val="Compact"/>
      </w:pPr>
      <w:r>
        <w:t xml:space="preserve">Emission Factor: 0.08 kg CO2e/tonne-km (average for HGV in Europe)</w:t>
      </w:r>
    </w:p>
    <w:p>
      <w:pPr>
        <w:pStyle w:val="FirstParagraph"/>
      </w:pPr>
      <w:r>
        <w:t xml:space="preserve">Upstream Transport Emissions = 0.00055 tonnes * 1500 km * 0.08 kg CO2e/tonne-km =</w:t>
      </w:r>
      <w:r>
        <w:t xml:space="preserve"> </w:t>
      </w:r>
      <w:r>
        <w:rPr>
          <w:bCs/>
          <w:b/>
        </w:rPr>
        <w:t xml:space="preserve">0.066 kg CO2e</w:t>
      </w:r>
    </w:p>
    <w:bookmarkEnd w:id="40"/>
    <w:bookmarkEnd w:id="41"/>
    <w:bookmarkStart w:id="42" w:name="core-production-phase---scope-2"/>
    <w:p>
      <w:pPr>
        <w:pStyle w:val="Heading3"/>
      </w:pPr>
      <w:r>
        <w:t xml:space="preserve">3.2. Core (Production Phase - Scope 2)</w:t>
      </w:r>
    </w:p>
    <w:p>
      <w:pPr>
        <w:pStyle w:val="FirstParagraph"/>
      </w:pPr>
      <w:r>
        <w:t xml:space="preserve">Emissions from electricity consumption during the manufacturing process at the final production facility</w:t>
      </w:r>
      <w:r>
        <w:t xml:space="preserve"> </w:t>
      </w:r>
      <w:r>
        <w:t xml:space="preserve">in China.</w:t>
      </w:r>
    </w:p>
    <w:p>
      <w:pPr>
        <w:numPr>
          <w:ilvl w:val="0"/>
          <w:numId w:val="1007"/>
        </w:numPr>
        <w:pStyle w:val="Compact"/>
      </w:pPr>
      <w:r>
        <w:t xml:space="preserve">Energy Intensity: 10 kWh/unit</w:t>
      </w:r>
    </w:p>
    <w:p>
      <w:pPr>
        <w:numPr>
          <w:ilvl w:val="0"/>
          <w:numId w:val="1007"/>
        </w:numPr>
        <w:pStyle w:val="Compact"/>
      </w:pPr>
      <w:r>
        <w:t xml:space="preserve">Renewable Energy Usage: 75%</w:t>
      </w:r>
    </w:p>
    <w:p>
      <w:pPr>
        <w:numPr>
          <w:ilvl w:val="0"/>
          <w:numId w:val="1007"/>
        </w:numPr>
        <w:pStyle w:val="Compact"/>
      </w:pPr>
      <w:r>
        <w:t xml:space="preserve">Non-renewable Energy Share: 100% - 75% = 25%</w:t>
      </w:r>
    </w:p>
    <w:p>
      <w:pPr>
        <w:numPr>
          <w:ilvl w:val="0"/>
          <w:numId w:val="1007"/>
        </w:numPr>
        <w:pStyle w:val="Compact"/>
      </w:pPr>
      <w:r>
        <w:t xml:space="preserve">China Grid Mix Emission Factor: 0.6205 kg CO2e/kWh</w:t>
      </w:r>
    </w:p>
    <w:p>
      <w:pPr>
        <w:pStyle w:val="FirstParagraph"/>
      </w:pPr>
      <w:r>
        <w:t xml:space="preserve">Production Energy Emissions (Scope 2) = Energy Intensity * Non-renewable Share * China Grid Factor</w:t>
      </w:r>
      <w:r>
        <w:br/>
      </w:r>
      <w:r>
        <w:t xml:space="preserve">= 10 kWh/unit * 0.25 * 0.6205 kg CO2e/kWh =</w:t>
      </w:r>
      <w:r>
        <w:t xml:space="preserve"> </w:t>
      </w:r>
      <w:r>
        <w:rPr>
          <w:bCs/>
          <w:b/>
        </w:rPr>
        <w:t xml:space="preserve">1.55125 kg CO2e</w:t>
      </w:r>
    </w:p>
    <w:p>
      <w:pPr>
        <w:pStyle w:val="BodyText"/>
      </w:pPr>
      <w:r>
        <w:rPr>
          <w:iCs/>
          <w:i/>
        </w:rPr>
        <w:t xml:space="preserve">Note: Scope 1 emissions at the manufacturing site (e.g., direct fuel combustion) are assumed to be covered by the company\'s operational GHG inventory and are not specifically quantified at the product level for the \'factory_gate\' boundary in this PCF, focusing on purchased energy and value chain impacts.</w:t>
      </w:r>
    </w:p>
    <w:bookmarkEnd w:id="42"/>
    <w:bookmarkStart w:id="46" w:name="downstream-scope-3-category-9-11-12"/>
    <w:p>
      <w:pPr>
        <w:pStyle w:val="Heading3"/>
      </w:pPr>
      <w:r>
        <w:t xml:space="preserve">3.3. Downstream (Scope 3, Category 9, 11 &amp; 12)</w:t>
      </w:r>
    </w:p>
    <w:bookmarkStart w:id="43" w:name="X8f6fa7552191974c0e718e5a3854780b2fac149"/>
    <w:p>
      <w:pPr>
        <w:pStyle w:val="Heading4"/>
      </w:pPr>
      <w:r>
        <w:t xml:space="preserve">3.3.1. Downstream Transportation (Scope 3, Category 9 - Downstream transportation and distribution)</w:t>
      </w:r>
    </w:p>
    <w:p>
      <w:pPr>
        <w:pStyle w:val="FirstParagraph"/>
      </w:pPr>
      <w:r>
        <w:t xml:space="preserve">Emissions from last-mile delivery to the customer.</w:t>
      </w:r>
    </w:p>
    <w:p>
      <w:pPr>
        <w:numPr>
          <w:ilvl w:val="0"/>
          <w:numId w:val="1008"/>
        </w:numPr>
        <w:pStyle w:val="Compact"/>
      </w:pPr>
      <w:r>
        <w:t xml:space="preserve">Delivery Type: Small parcel delivery, van</w:t>
      </w:r>
    </w:p>
    <w:p>
      <w:pPr>
        <w:numPr>
          <w:ilvl w:val="0"/>
          <w:numId w:val="1008"/>
        </w:numPr>
        <w:pStyle w:val="Compact"/>
      </w:pPr>
      <w:r>
        <w:t xml:space="preserve">Emission Factor: 0.2 kg CO2e/parcel (illustrative, derived from general industry averages)</w:t>
      </w:r>
    </w:p>
    <w:p>
      <w:pPr>
        <w:pStyle w:val="FirstParagraph"/>
      </w:pPr>
      <w:r>
        <w:t xml:space="preserve">Downstream Transport Emissions = 1.0 unit * 0.2 kg CO2e/parcel =</w:t>
      </w:r>
      <w:r>
        <w:t xml:space="preserve"> </w:t>
      </w:r>
      <w:r>
        <w:rPr>
          <w:bCs/>
          <w:b/>
        </w:rPr>
        <w:t xml:space="preserve">0.20 kg CO2e</w:t>
      </w:r>
    </w:p>
    <w:bookmarkEnd w:id="43"/>
    <w:bookmarkStart w:id="44" w:name="Xe72837a908ad344b018b3447ff671a3dec19470"/>
    <w:p>
      <w:pPr>
        <w:pStyle w:val="Heading4"/>
      </w:pPr>
      <w:r>
        <w:t xml:space="preserve">3.3.2. Use Phase (Scope 3, Category 11 - Use of sold products)</w:t>
      </w:r>
    </w:p>
    <w:p>
      <w:pPr>
        <w:pStyle w:val="FirstParagraph"/>
      </w:pPr>
      <w:r>
        <w:t xml:space="preserve">Emissions from electricity consumption during the product\'s lifespan.</w:t>
      </w:r>
    </w:p>
    <w:p>
      <w:pPr>
        <w:numPr>
          <w:ilvl w:val="0"/>
          <w:numId w:val="1009"/>
        </w:numPr>
        <w:pStyle w:val="Compact"/>
      </w:pPr>
      <w:r>
        <w:t xml:space="preserve">Product Lifespan: 5 years</w:t>
      </w:r>
    </w:p>
    <w:p>
      <w:pPr>
        <w:numPr>
          <w:ilvl w:val="0"/>
          <w:numId w:val="1009"/>
        </w:numPr>
        <w:pStyle w:val="Compact"/>
      </w:pPr>
      <w:r>
        <w:t xml:space="preserve">Annual Energy Consumption: 20 kWh/year</w:t>
      </w:r>
    </w:p>
    <w:p>
      <w:pPr>
        <w:numPr>
          <w:ilvl w:val="0"/>
          <w:numId w:val="1009"/>
        </w:numPr>
        <w:pStyle w:val="Compact"/>
      </w:pPr>
      <w:r>
        <w:t xml:space="preserve">Total Energy Consumption over Lifespan: 5 years * 20 kWh/year = 100 kWh</w:t>
      </w:r>
    </w:p>
    <w:p>
      <w:pPr>
        <w:numPr>
          <w:ilvl w:val="0"/>
          <w:numId w:val="1009"/>
        </w:numPr>
        <w:pStyle w:val="Compact"/>
      </w:pPr>
      <w:r>
        <w:t xml:space="preserve">Global Average Grid Mix Emission Factor: 0.4 kg CO2e/kWh</w:t>
      </w:r>
    </w:p>
    <w:p>
      <w:pPr>
        <w:pStyle w:val="FirstParagraph"/>
      </w:pPr>
      <w:r>
        <w:t xml:space="preserve">Use Phase Emissions = Total Energy Consumption * Global Avg Grid Factor</w:t>
      </w:r>
      <w:r>
        <w:br/>
      </w:r>
      <w:r>
        <w:t xml:space="preserve">= 100 kWh * 0.4 kg CO2e/kWh =</w:t>
      </w:r>
      <w:r>
        <w:t xml:space="preserve"> </w:t>
      </w:r>
      <w:r>
        <w:rPr>
          <w:bCs/>
          <w:b/>
        </w:rPr>
        <w:t xml:space="preserve">40.0 kg CO2e</w:t>
      </w:r>
    </w:p>
    <w:bookmarkEnd w:id="44"/>
    <w:bookmarkStart w:id="45" w:name="Xfee19c72b3111fddaf9d3fe76723f104166f831"/>
    <w:p>
      <w:pPr>
        <w:pStyle w:val="Heading4"/>
      </w:pPr>
      <w:r>
        <w:t xml:space="preserve">3.3.3. End-of-Life Treatment (Scope 3, Category 12 - End-of-life treatment of sold products)</w:t>
      </w:r>
    </w:p>
    <w:p>
      <w:pPr>
        <w:pStyle w:val="FirstParagraph"/>
      </w:pPr>
      <w:r>
        <w:t xml:space="preserve">Emissions and potential avoided emissions from recycling and disposal.</w:t>
      </w:r>
    </w:p>
    <w:p>
      <w:pPr>
        <w:numPr>
          <w:ilvl w:val="0"/>
          <w:numId w:val="1010"/>
        </w:numPr>
        <w:pStyle w:val="Compact"/>
      </w:pPr>
      <w:r>
        <w:t xml:space="preserve">Recyclability Percentage: 80%</w:t>
      </w:r>
    </w:p>
    <w:p>
      <w:pPr>
        <w:numPr>
          <w:ilvl w:val="0"/>
          <w:numId w:val="1010"/>
        </w:numPr>
        <w:pStyle w:val="Compact"/>
      </w:pPr>
      <w:r>
        <w:t xml:space="preserve">Non-recyclable Portion: 100% - 80% = 20%</w:t>
      </w:r>
    </w:p>
    <w:p>
      <w:pPr>
        <w:numPr>
          <w:ilvl w:val="0"/>
          <w:numId w:val="1010"/>
        </w:numPr>
        <w:pStyle w:val="Compact"/>
      </w:pPr>
      <w:r>
        <w:t xml:space="preserve">Circular Programs: Active take-back program with material recovery and refurbishment initiatives</w:t>
      </w:r>
    </w:p>
    <w:p>
      <w:pPr>
        <w:pStyle w:val="FirstParagraph"/>
      </w:pPr>
      <w:r>
        <w:t xml:space="preserve">For the recyclable portion (80%), a recycling credit is applied, assuming an avoidance of 50% of the</w:t>
      </w:r>
      <w:r>
        <w:t xml:space="preserve"> </w:t>
      </w:r>
      <w:r>
        <w:t xml:space="preserve">original material emissions from the purchased goods (Scope 3, Category 1).</w:t>
      </w:r>
      <w:r>
        <w:t xml:space="preserve"> </w:t>
      </w:r>
      <w:r>
        <w:t xml:space="preserve">For the non-recyclable portion (20%), a simplified disposal emission factor is used.</w:t>
      </w:r>
    </w:p>
    <w:p>
      <w:pPr>
        <w:pStyle w:val="BodyText"/>
      </w:pPr>
      <w:r>
        <w:t xml:space="preserve">Total Material Emissions (from BOM): 18.75 kg CO2e</w:t>
      </w:r>
    </w:p>
    <w:p>
      <w:pPr>
        <w:numPr>
          <w:ilvl w:val="0"/>
          <w:numId w:val="1011"/>
        </w:numPr>
        <w:pStyle w:val="Compact"/>
      </w:pPr>
      <w:r>
        <w:t xml:space="preserve">Recycling Credit = - (80% of Total Material Emissions * 50% avoidance) = - (0.80 * 18.75 kg CO2e * 0.50) = -7.50 kg CO2e</w:t>
      </w:r>
    </w:p>
    <w:p>
      <w:pPr>
        <w:numPr>
          <w:ilvl w:val="0"/>
          <w:numId w:val="1011"/>
        </w:numPr>
        <w:pStyle w:val="Compact"/>
      </w:pPr>
      <w:r>
        <w:t xml:space="preserve">Disposal Emissions (for 20% non-recycled portion): Assuming a generic disposal factor of 1 kg CO2e/kg for remaining product weight.</w:t>
      </w:r>
      <w:r>
        <w:br/>
      </w:r>
      <w:r>
        <w:t xml:space="preserve">= 0.20 * 0.55 kg (product weight) * 1 kg CO2e/kg = 0.11 kg CO2e</w:t>
      </w:r>
    </w:p>
    <w:p>
      <w:pPr>
        <w:pStyle w:val="FirstParagraph"/>
      </w:pPr>
      <w:r>
        <w:t xml:space="preserve">Net End-of-Life Emissions = -7.50 kg CO2e + 0.11 kg CO2e =</w:t>
      </w:r>
      <w:r>
        <w:t xml:space="preserve"> </w:t>
      </w:r>
      <w:r>
        <w:rPr>
          <w:bCs/>
          <w:b/>
        </w:rPr>
        <w:t xml:space="preserve">-7.39 kg CO2e</w:t>
      </w:r>
      <w:r>
        <w:br/>
      </w:r>
      <w:r>
        <w:t xml:space="preserve">(This negative value indicates a net carbon removal/avoidance due to recycling efforts.)</w:t>
      </w:r>
    </w:p>
    <w:p>
      <w:r>
        <w:pict>
          <v:rect style="width:0;height:1.5pt" o:hralign="center" o:hrstd="t" o:hr="t"/>
        </w:pict>
      </w:r>
    </w:p>
    <w:bookmarkEnd w:id="45"/>
    <w:bookmarkEnd w:id="46"/>
    <w:bookmarkEnd w:id="47"/>
    <w:bookmarkStart w:id="51" w:name="X25f34b05081ce8fca94ff134b60d065e532e7a7"/>
    <w:p>
      <w:pPr>
        <w:pStyle w:val="Heading2"/>
      </w:pPr>
      <w:r>
        <w:t xml:space="preserve">4. Summary of Product Carbon Footprint for jsruzmmmef</w:t>
      </w:r>
    </w:p>
    <w:bookmarkStart w:id="48" w:name="total-pcf-by-scope"/>
    <w:p>
      <w:pPr>
        <w:pStyle w:val="Heading3"/>
      </w:pPr>
      <w:r>
        <w:t xml:space="preserve">4.1. Total PCF by Scope</w:t>
      </w:r>
    </w:p>
    <w:p>
      <w:pPr>
        <w:pStyle w:val="FirstParagraph"/>
      </w:pPr>
      <w:r>
        <w:t xml:space="preserve">The total Product Carbon Footprint for one functional unit of jsruzmmmef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&amp; 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Energy (Production Phase)</w:t>
            </w:r>
          </w:p>
        </w:tc>
        <w:tc>
          <w:tcPr/>
          <w:p>
            <w:pPr>
              <w:pStyle w:val="Compact"/>
              <w:jc w:val="left"/>
            </w:pPr>
            <w:r>
              <w:t xml:space="preserve">1.55</w:t>
            </w:r>
          </w:p>
        </w:tc>
      </w:tr>
      <w:tr>
        <w:tc>
          <w:tcPr/>
          <w:p>
            <w:pPr>
              <w:pStyle w:val="Compact"/>
              <w:jc w:val="left"/>
            </w:pPr>
            <w:r>
              <w:rPr>
                <w:bCs/>
                <w:b/>
              </w:rPr>
              <w:t xml:space="preserve">Scope 3, Category 1</w:t>
            </w:r>
          </w:p>
        </w:tc>
        <w:tc>
          <w:tcPr/>
          <w:p>
            <w:pPr>
              <w:pStyle w:val="Compact"/>
              <w:jc w:val="left"/>
            </w:pPr>
            <w:r>
              <w:t xml:space="preserve">Purchased Goods and Services (Materials)</w:t>
            </w:r>
          </w:p>
        </w:tc>
        <w:tc>
          <w:tcPr/>
          <w:p>
            <w:pPr>
              <w:pStyle w:val="Compact"/>
              <w:jc w:val="left"/>
            </w:pPr>
            <w:r>
              <w:t xml:space="preserve">18.75</w:t>
            </w:r>
          </w:p>
        </w:tc>
      </w:tr>
      <w:tr>
        <w:tc>
          <w:tcPr/>
          <w:p>
            <w:pPr>
              <w:pStyle w:val="Compact"/>
              <w:jc w:val="left"/>
            </w:pPr>
            <w:r>
              <w:rPr>
                <w:bCs/>
                <w:b/>
              </w:rPr>
              <w:t xml:space="preserve">Scope 3, Category 4</w:t>
            </w:r>
          </w:p>
        </w:tc>
        <w:tc>
          <w:tcPr/>
          <w:p>
            <w:pPr>
              <w:pStyle w:val="Compact"/>
              <w:jc w:val="left"/>
            </w:pPr>
            <w:r>
              <w:t xml:space="preserve">Upstream Transportation and Distribution</w:t>
            </w:r>
          </w:p>
        </w:tc>
        <w:tc>
          <w:tcPr/>
          <w:p>
            <w:pPr>
              <w:pStyle w:val="Compact"/>
              <w:jc w:val="left"/>
            </w:pPr>
            <w:r>
              <w:t xml:space="preserve">0.07</w:t>
            </w:r>
          </w:p>
        </w:tc>
      </w:tr>
      <w:tr>
        <w:tc>
          <w:tcPr/>
          <w:p>
            <w:pPr>
              <w:pStyle w:val="Compact"/>
              <w:jc w:val="left"/>
            </w:pPr>
            <w:r>
              <w:rPr>
                <w:bCs/>
                <w:b/>
              </w:rPr>
              <w:t xml:space="preserve">Scope 3, Category 9</w:t>
            </w:r>
          </w:p>
        </w:tc>
        <w:tc>
          <w:tcPr/>
          <w:p>
            <w:pPr>
              <w:pStyle w:val="Compact"/>
              <w:jc w:val="left"/>
            </w:pPr>
            <w:r>
              <w:t xml:space="preserve">Downstream Transportation and Distribution (Last-Mile)</w:t>
            </w:r>
          </w:p>
        </w:tc>
        <w:tc>
          <w:tcPr/>
          <w:p>
            <w:pPr>
              <w:pStyle w:val="Compact"/>
              <w:jc w:val="left"/>
            </w:pPr>
            <w:r>
              <w:t xml:space="preserve">0.20</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40.00</w:t>
            </w:r>
          </w:p>
        </w:tc>
      </w:tr>
      <w:tr>
        <w:tc>
          <w:tcPr/>
          <w:p>
            <w:pPr>
              <w:pStyle w:val="Compact"/>
              <w:jc w:val="left"/>
            </w:pPr>
            <w:r>
              <w:rPr>
                <w:bCs/>
                <w:b/>
              </w:rPr>
              <w:t xml:space="preserve">Scope 3, Category 12</w:t>
            </w:r>
          </w:p>
        </w:tc>
        <w:tc>
          <w:tcPr/>
          <w:p>
            <w:pPr>
              <w:pStyle w:val="Compact"/>
              <w:jc w:val="left"/>
            </w:pPr>
            <w:r>
              <w:t xml:space="preserve">End-of-Life Treatment of Sold Products</w:t>
            </w:r>
          </w:p>
        </w:tc>
        <w:tc>
          <w:tcPr/>
          <w:p>
            <w:pPr>
              <w:pStyle w:val="Compact"/>
              <w:jc w:val="left"/>
            </w:pPr>
            <w:r>
              <w:t xml:space="preserve">-7.39</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53.18</w:t>
            </w:r>
          </w:p>
        </w:tc>
      </w:tr>
    </w:tbl>
    <w:p>
      <w:pPr>
        <w:pStyle w:val="BodyText"/>
      </w:pPr>
      <w:r>
        <w:rPr>
          <w:bCs/>
          <w:b/>
        </w:rPr>
        <w:t xml:space="preserve">Total Product Carbon Footprint for 1.0 unit of jsruzmmmef: 53.18 kg CO2e</w:t>
      </w:r>
    </w:p>
    <w:bookmarkEnd w:id="48"/>
    <w:bookmarkStart w:id="49" w:name="hotspot-analysis"/>
    <w:p>
      <w:pPr>
        <w:pStyle w:val="Heading3"/>
      </w:pPr>
      <w:r>
        <w:t xml:space="preserve">4.2. Hotspot Analysis</w:t>
      </w:r>
    </w:p>
    <w:p>
      <w:pPr>
        <w:pStyle w:val="FirstParagraph"/>
      </w:pPr>
      <w:r>
        <w:t xml:space="preserve">The primary emission hotspots for jsruzmmmef are:</w:t>
      </w:r>
    </w:p>
    <w:p>
      <w:pPr>
        <w:numPr>
          <w:ilvl w:val="0"/>
          <w:numId w:val="1012"/>
        </w:numPr>
        <w:pStyle w:val="Compact"/>
      </w:pPr>
      <w:r>
        <w:rPr>
          <w:bCs/>
          <w:b/>
        </w:rPr>
        <w:t xml:space="preserve">Use Phase (Scope 3, Category 11):</w:t>
      </w:r>
      <w:r>
        <w:t xml:space="preserve"> </w:t>
      </w:r>
      <w:r>
        <w:t xml:space="preserve">This constitutes the largest portion of the PCF (40.00 kg CO2e or 75.2% of the gross emissions before EoL credits), primarily due to the product\'s annual energy consumption over its lifespan.</w:t>
      </w:r>
    </w:p>
    <w:p>
      <w:pPr>
        <w:numPr>
          <w:ilvl w:val="0"/>
          <w:numId w:val="1012"/>
        </w:numPr>
        <w:pStyle w:val="Compact"/>
      </w:pPr>
      <w:r>
        <w:rPr>
          <w:bCs/>
          <w:b/>
        </w:rPr>
        <w:t xml:space="preserve">Purchased Goods and Services (Scope 3, Category 1):</w:t>
      </w:r>
      <w:r>
        <w:t xml:space="preserve"> </w:t>
      </w:r>
      <w:r>
        <w:t xml:space="preserve">Materials and components contribute significantly (18.75 kg CO2e or 35.2% of the gross emissions), with the Printed Circuit Board and Semiconductor Chips being notable contributors.</w:t>
      </w:r>
    </w:p>
    <w:p>
      <w:pPr>
        <w:numPr>
          <w:ilvl w:val="0"/>
          <w:numId w:val="1012"/>
        </w:numPr>
        <w:pStyle w:val="Compact"/>
      </w:pPr>
      <w:r>
        <w:rPr>
          <w:bCs/>
          <w:b/>
        </w:rPr>
        <w:t xml:space="preserve">Production Energy (Scope 2):</w:t>
      </w:r>
      <w:r>
        <w:t xml:space="preserve"> </w:t>
      </w:r>
      <w:r>
        <w:t xml:space="preserve">Manufacturing electricity accounts for a smaller but relevant portion (1.55 kg CO2e or 2.9% of the gross emissions).</w:t>
      </w:r>
    </w:p>
    <w:bookmarkEnd w:id="49"/>
    <w:bookmarkStart w:id="50" w:name="reliability-and-limitations"/>
    <w:p>
      <w:pPr>
        <w:pStyle w:val="Heading3"/>
      </w:pPr>
      <w:r>
        <w:t xml:space="preserve">4.3. Reliability and Limitations</w:t>
      </w:r>
    </w:p>
    <w:p>
      <w:pPr>
        <w:pStyle w:val="FirstParagraph"/>
      </w:pPr>
      <w:r>
        <w:t xml:space="preserve">The reliability of this PCF is good given the structured data provided and the adherence to GHG Protocol</w:t>
      </w:r>
      <w:r>
        <w:t xml:space="preserve"> </w:t>
      </w:r>
      <w:r>
        <w:t xml:space="preserve">methodology. However, it is important to note the following limitations:</w:t>
      </w:r>
    </w:p>
    <w:p>
      <w:pPr>
        <w:numPr>
          <w:ilvl w:val="0"/>
          <w:numId w:val="1013"/>
        </w:numPr>
        <w:pStyle w:val="Compact"/>
      </w:pPr>
      <w:r>
        <w:rPr>
          <w:bCs/>
          <w:b/>
        </w:rPr>
        <w:t xml:space="preserve">Illustrative Data:</w:t>
      </w:r>
      <w:r>
        <w:t xml:space="preserve"> </w:t>
      </w:r>
      <w:r>
        <w:t xml:space="preserve">Several input parameters (BOM content, transport modes/distances, energy usage, etc.) were provided as placeholders and have been substituted with illustrative, representative values based on general industry knowledge and publicly available emission factors. Actual primary data from suppliers would enhance accuracy.</w:t>
      </w:r>
    </w:p>
    <w:p>
      <w:pPr>
        <w:numPr>
          <w:ilvl w:val="0"/>
          <w:numId w:val="1013"/>
        </w:numPr>
        <w:pStyle w:val="Compact"/>
      </w:pPr>
      <w:r>
        <w:rPr>
          <w:bCs/>
          <w:b/>
        </w:rPr>
        <w:t xml:space="preserve">Emission Factor Specificity:</w:t>
      </w:r>
      <w:r>
        <w:t xml:space="preserve"> </w:t>
      </w:r>
      <w:r>
        <w:t xml:space="preserve">Generic industry-average emission factors (consistent with Ecoinvent/DEFRA principles) were used where specific supplier-level data was unavailable. These factors may not perfectly reflect the specific processes or energy mixes of individual suppliers.</w:t>
      </w:r>
    </w:p>
    <w:p>
      <w:pPr>
        <w:numPr>
          <w:ilvl w:val="0"/>
          <w:numId w:val="1013"/>
        </w:numPr>
        <w:pStyle w:val="Compact"/>
      </w:pPr>
      <w:r>
        <w:rPr>
          <w:bCs/>
          <w:b/>
        </w:rPr>
        <w:t xml:space="preserve">Scope 1 Reporting:</w:t>
      </w:r>
      <w:r>
        <w:t xml:space="preserve"> </w:t>
      </w:r>
      <w:r>
        <w:t xml:space="preserve">Direct Scope 1 emissions from the manufacturing facility itself are assumed to be managed under the company\'s operational inventory and are not detailed in this product-level PCF under the "factory_gate" boundary for purchased energy and value chain focus.</w:t>
      </w:r>
    </w:p>
    <w:p>
      <w:pPr>
        <w:numPr>
          <w:ilvl w:val="0"/>
          <w:numId w:val="1013"/>
        </w:numPr>
        <w:pStyle w:val="Compact"/>
      </w:pPr>
      <w:r>
        <w:rPr>
          <w:bCs/>
          <w:b/>
        </w:rPr>
        <w:t xml:space="preserve">LSR Standard Application:</w:t>
      </w:r>
      <w:r>
        <w:t xml:space="preserve"> </w:t>
      </w:r>
      <w:r>
        <w:t xml:space="preserve">As direct land-use impacts are not explicitly detailed in the product BOM, the LSR Standard principles have been acknowledged but not fully applied in quantitative detail for this specific product.</w:t>
      </w:r>
    </w:p>
    <w:p>
      <w:r>
        <w:pict>
          <v:rect style="width:0;height:1.5pt" o:hralign="center" o:hrstd="t" o:hr="t"/>
        </w:pict>
      </w:r>
    </w:p>
    <w:bookmarkEnd w:id="50"/>
    <w:bookmarkEnd w:id="51"/>
    <w:bookmarkStart w:id="52" w:name="recommendations-for-emission-reduction"/>
    <w:p>
      <w:pPr>
        <w:pStyle w:val="Heading2"/>
      </w:pPr>
      <w:r>
        <w:t xml:space="preserve">5. Recommendations for Emission Reduction</w:t>
      </w:r>
    </w:p>
    <w:p>
      <w:pPr>
        <w:pStyle w:val="FirstParagraph"/>
      </w:pPr>
      <w:r>
        <w:t xml:space="preserve">Based on the hotspot analysis, urnqwjwgij can focus on the following strategies:</w:t>
      </w:r>
    </w:p>
    <w:p>
      <w:pPr>
        <w:numPr>
          <w:ilvl w:val="0"/>
          <w:numId w:val="1014"/>
        </w:numPr>
        <w:pStyle w:val="Compact"/>
      </w:pPr>
      <w:r>
        <w:rPr>
          <w:bCs/>
          <w:b/>
        </w:rPr>
        <w:t xml:space="preserve">Optimize Use Phase Efficiency:</w:t>
      </w:r>
      <w:r>
        <w:t xml:space="preserve"> </w:t>
      </w:r>
      <w:r>
        <w:t xml:space="preserve">Invest in R&amp;D to significantly reduce the product\'s energy consumption during its lifespan. Promote awareness among consumers about efficient use.</w:t>
      </w:r>
    </w:p>
    <w:p>
      <w:pPr>
        <w:numPr>
          <w:ilvl w:val="0"/>
          <w:numId w:val="1014"/>
        </w:numPr>
        <w:pStyle w:val="Compact"/>
      </w:pPr>
      <w:r>
        <w:rPr>
          <w:bCs/>
          <w:b/>
        </w:rPr>
        <w:t xml:space="preserve">Source Low-Carbon Materials:</w:t>
      </w:r>
      <w:r>
        <w:t xml:space="preserve"> </w:t>
      </w:r>
      <w:r>
        <w:t xml:space="preserve">Engage with suppliers to obtain primary, verified emission data for components. Prioritize sourcing materials with lower carbon footprints, including recycled content (as demonstrated by the positive impact of high recyclability).</w:t>
      </w:r>
    </w:p>
    <w:p>
      <w:pPr>
        <w:numPr>
          <w:ilvl w:val="0"/>
          <w:numId w:val="1014"/>
        </w:numPr>
        <w:pStyle w:val="Compact"/>
      </w:pPr>
      <w:r>
        <w:rPr>
          <w:bCs/>
          <w:b/>
        </w:rPr>
        <w:t xml:space="preserve">Enhance Renewable Energy Adoption:</w:t>
      </w:r>
      <w:r>
        <w:t xml:space="preserve"> </w:t>
      </w:r>
      <w:r>
        <w:t xml:space="preserve">Continue to increase the share of renewable energy at production facilities in China beyond the current 75% to further reduce Scope 2 emissions.</w:t>
      </w:r>
    </w:p>
    <w:p>
      <w:pPr>
        <w:numPr>
          <w:ilvl w:val="0"/>
          <w:numId w:val="1014"/>
        </w:numPr>
        <w:pStyle w:val="Compact"/>
      </w:pPr>
      <w:r>
        <w:rPr>
          <w:bCs/>
          <w:b/>
        </w:rPr>
        <w:t xml:space="preserve">Strengthen Circular Economy Initiatives:</w:t>
      </w:r>
      <w:r>
        <w:t xml:space="preserve"> </w:t>
      </w:r>
      <w:r>
        <w:t xml:space="preserve">Expand take-back and refurbishment programs to maximize material recovery and extend product lifespans, further enhancing the positive end-of-life impact.</w:t>
      </w:r>
    </w:p>
    <w:p>
      <w:pPr>
        <w:numPr>
          <w:ilvl w:val="0"/>
          <w:numId w:val="1014"/>
        </w:numPr>
        <w:pStyle w:val="Compact"/>
      </w:pPr>
      <w:r>
        <w:rPr>
          <w:bCs/>
          <w:b/>
        </w:rPr>
        <w:t xml:space="preserve">Logistics Optimization:</w:t>
      </w:r>
      <w:r>
        <w:t xml:space="preserve"> </w:t>
      </w:r>
      <w:r>
        <w:t xml:space="preserve">Explore more carbon-efficient transportation modes and optimize logistics routes, especially for the supply chain from Europe to China, to minimize transport emissions.</w:t>
      </w:r>
    </w:p>
    <w:p>
      <w:r>
        <w:pict>
          <v:rect style="width:0;height:1.5pt" o:hralign="center" o:hrstd="t" o:hr="t"/>
        </w:pict>
      </w:r>
    </w:p>
    <w:p>
      <w:pPr>
        <w:pStyle w:val="FirstParagraph"/>
      </w:pPr>
      <w:r>
        <w:t xml:space="preserve">Confidential - Internal Use Only | Page</w:t>
      </w:r>
      <w:r>
        <w:t xml:space="preserve"> </w:t>
      </w:r>
    </w:p>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jsruzmmmef</dc:title>
  <dc:creator/>
  <dc:description>High-detail Product Carbon Footprint (PCF) analysis report for jsruzmmmef, adhering to GHG Protocol standards and 2026 updates, for company urnqwjwgij by Senior Sustainability Consultant dnhqdttwxj.</dc:description>
  <dc:language>en</dc:language>
  <cp:keywords/>
  <dcterms:created xsi:type="dcterms:W3CDTF">2026-07-15T11:36:58Z</dcterms:created>
  <dcterms:modified xsi:type="dcterms:W3CDTF">2026-07-15T11:36:58Z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