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jsrexusmso</w:t>
      </w:r>
      <w:r>
        <w:t xml:space="preserve"> </w:t>
      </w:r>
      <w:r>
        <w:t xml:space="preserve">-</w:t>
      </w:r>
      <w:r>
        <w:t xml:space="preserve"> </w:t>
      </w:r>
      <w:r>
        <w:t xml:space="preserve">gpjqklekts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jsrexusmso</w:t>
      </w:r>
    </w:p>
    <w:p>
      <w:pPr>
        <w:pStyle w:val="BodyText"/>
      </w:pPr>
      <w:r>
        <w:rPr>
          <w:bCs/>
          <w:b/>
        </w:rPr>
        <w:t xml:space="preserve">Company Name:</w:t>
      </w:r>
      <w:r>
        <w:t xml:space="preserve"> </w:t>
      </w:r>
      <w:r>
        <w:t xml:space="preserve">gpjqklekts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hkksefilnw</w:t>
      </w:r>
    </w:p>
    <w:p>
      <w:pPr>
        <w:pStyle w:val="BodyText"/>
      </w:pPr>
      <w:r>
        <w:t xml:space="preserve">This report is generated based on available data and industry standards. While every effort has been made to ensure accuracy, actual emissions may vary depending on real-world conditions and data availability.</w:t>
      </w:r>
    </w:p>
    <w:bookmarkEnd w:id="20"/>
    <w:bookmarkStart w:id="21" w:name="product-carbon-footprint-report"/>
    <w:p>
      <w:pPr>
        <w:pStyle w:val="Heading1"/>
      </w:pPr>
      <w:r>
        <w:t xml:space="preserve">Product Carbon Footprint Report</w:t>
      </w:r>
    </w:p>
    <w:p>
      <w:pPr>
        <w:pStyle w:val="FirstParagraph"/>
      </w:pPr>
      <w:r>
        <w:t xml:space="preserve">Product: jsrexusmso | Company: gpjqklekts</w:t>
      </w:r>
    </w:p>
    <w:p>
      <w:pPr>
        <w:pStyle w:val="BodyText"/>
      </w:pPr>
      <w:r>
        <w:t xml:space="preserve">Generated Date: June 3,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jsrexusmso, manufactured by gpjqklekts. The analysis, conducted by hkksefilnw, a Senior Sustainability Consultant specializing in GHG Protocol, adheres to the GHG Protocol Product Standard and incorporates the 2026 Land Sector and Removals (LSR) Standard for land use and carbon removals. The primary objective is to quantify the greenhouse gas (GHG) emissions associated with the entire lifecycle of jsrexusmso, from raw material extraction to end-of-life, expressed in kilograms of carbon dioxide equivalent (kg CO2e) per functional unit (1.0 unit). The analysis identifies key emission hotspots and provides a foundational understanding for strategic decarbonization efforts.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 jsrexusmso follows the five-step methodology as prescribed by the GHG Protocol Product Standard, ensuring a robust and transparent assessment of emissions across the product\'s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jsrexusmso. This serves as the reference basis for all emission calculations.</w:t>
      </w:r>
    </w:p>
    <w:p>
      <w:pPr>
        <w:numPr>
          <w:ilvl w:val="0"/>
          <w:numId w:val="1001"/>
        </w:numPr>
        <w:pStyle w:val="Compact"/>
      </w:pPr>
      <w:r>
        <w:rPr>
          <w:bCs/>
          <w:b/>
        </w:rPr>
        <w:t xml:space="preserve">System Boundary:</w:t>
      </w:r>
      <w:r>
        <w:t xml:space="preserve"> </w:t>
      </w:r>
      <w:r>
        <w:t xml:space="preserve">The system boundary is defined as "factory_gate", which typically includes raw material acquisition, manufacturing (including inbound logistics to the factory), and direct factory operations. However, to provide a comprehensive view as per a high-detail PCF, the analysis extends beyond the strict "factory_gate" definition to include downstream life cycle stages such as product use and end-of-life, categorizing them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downstream distribution and use phase energy mixes are considered within a European context.</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production and use of one unit of jsrexusmso.</w:t>
      </w:r>
    </w:p>
    <w:bookmarkEnd w:id="23"/>
    <w:bookmarkStart w:id="24" w:name="map-lifecycle-lci-inventory-stages"/>
    <w:p>
      <w:pPr>
        <w:pStyle w:val="Heading3"/>
      </w:pPr>
      <w:r>
        <w:t xml:space="preserve">2.2. Map Lifecycle (LCI Inventory Stages)</w:t>
      </w:r>
    </w:p>
    <w:p>
      <w:pPr>
        <w:pStyle w:val="FirstParagraph"/>
      </w:pPr>
      <w:r>
        <w:t xml:space="preserve">The lifecycle of jsrexusmso is mapped across five key stages to ensure a holistic assessment of environmental impacts:</w:t>
      </w:r>
    </w:p>
    <w:p>
      <w:pPr>
        <w:numPr>
          <w:ilvl w:val="0"/>
          <w:numId w:val="1003"/>
        </w:numPr>
        <w:pStyle w:val="Compact"/>
      </w:pPr>
      <w:r>
        <w:rPr>
          <w:bCs/>
          <w:b/>
        </w:rPr>
        <w:t xml:space="preserve">Raw Material Acquisition &amp; Pre-processing (Upstream):</w:t>
      </w:r>
      <w:r>
        <w:t xml:space="preserve"> </w:t>
      </w:r>
      <w:r>
        <w:t xml:space="preserve">This stage includes the extraction, processing, and refining of all materials listed in the Detailed Bill of Materials (BOM) for jsrexusmso.</w:t>
      </w:r>
    </w:p>
    <w:p>
      <w:pPr>
        <w:numPr>
          <w:ilvl w:val="0"/>
          <w:numId w:val="1003"/>
        </w:numPr>
        <w:pStyle w:val="Compact"/>
      </w:pPr>
      <w:r>
        <w:rPr>
          <w:bCs/>
          <w:b/>
        </w:rPr>
        <w:t xml:space="preserve">Manufacturing (Core):</w:t>
      </w:r>
      <w:r>
        <w:t xml:space="preserve"> </w:t>
      </w:r>
      <w:r>
        <w:t xml:space="preserve">Encompasses the production processes within gpjqklekts\'s factory in China, including energy consumption for assembly and other operations.</w:t>
      </w:r>
    </w:p>
    <w:p>
      <w:pPr>
        <w:numPr>
          <w:ilvl w:val="0"/>
          <w:numId w:val="1003"/>
        </w:numPr>
        <w:pStyle w:val="Compact"/>
      </w:pPr>
      <w:r>
        <w:rPr>
          <w:bCs/>
          <w:b/>
        </w:rPr>
        <w:t xml:space="preserve">Transportation &amp; Distribution (Upstream &amp; Downstream):</w:t>
      </w:r>
      <w:r>
        <w:t xml:space="preserve"> </w:t>
      </w:r>
      <w:r>
        <w:t xml:space="preserve">Covers the transport of raw materials to the factory (inbound logistics) and the distribution of the finished product to the customer, including last-mile delivery.</w:t>
      </w:r>
    </w:p>
    <w:p>
      <w:pPr>
        <w:numPr>
          <w:ilvl w:val="0"/>
          <w:numId w:val="1003"/>
        </w:numPr>
        <w:pStyle w:val="Compact"/>
      </w:pPr>
      <w:r>
        <w:rPr>
          <w:bCs/>
          <w:b/>
        </w:rPr>
        <w:t xml:space="preserve">Use Phase (Downstream):</w:t>
      </w:r>
      <w:r>
        <w:t xml:space="preserve"> </w:t>
      </w:r>
      <w:r>
        <w:t xml:space="preserve">Accounts for the energy consumption and associated emissions during the product\'s lifespan, based on typical usage patterns.</w:t>
      </w:r>
    </w:p>
    <w:p>
      <w:pPr>
        <w:numPr>
          <w:ilvl w:val="0"/>
          <w:numId w:val="1003"/>
        </w:numPr>
        <w:pStyle w:val="Compact"/>
      </w:pPr>
      <w:r>
        <w:rPr>
          <w:bCs/>
          <w:b/>
        </w:rPr>
        <w:t xml:space="preserve">End-of-Life (Downstream):</w:t>
      </w:r>
      <w:r>
        <w:t xml:space="preserve"> </w:t>
      </w:r>
      <w:r>
        <w:t xml:space="preserve">Addresses emissions related to the disposal or recycling of the product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Both primary and secondary data sources were utilized for this analysis:</w:t>
      </w:r>
    </w:p>
    <w:p>
      <w:pPr>
        <w:numPr>
          <w:ilvl w:val="0"/>
          <w:numId w:val="1004"/>
        </w:numPr>
        <w:pStyle w:val="Compact"/>
      </w:pPr>
      <w:r>
        <w:rPr>
          <w:bCs/>
          <w:b/>
        </w:rPr>
        <w:t xml:space="preserve">Primary Data:</w:t>
      </w:r>
      <w:r>
        <w:t xml:space="preserve"> </w:t>
      </w:r>
      <w:r>
        <w:t xml:space="preserve">Company-specific data provided by gpjqklekts, including the Detailed Bill of Materials (BOM), renewable energy usage, energy intensity, product lifespan, energy consumption in use, recyclability percentage, and details on circular/take-back programs.</w:t>
      </w:r>
    </w:p>
    <w:p>
      <w:pPr>
        <w:numPr>
          <w:ilvl w:val="0"/>
          <w:numId w:val="1004"/>
        </w:numPr>
        <w:pStyle w:val="Compact"/>
      </w:pPr>
      <w:r>
        <w:rPr>
          <w:bCs/>
          <w:b/>
        </w:rPr>
        <w:t xml:space="preserve">Secondary Data:</w:t>
      </w:r>
      <w:r>
        <w:t xml:space="preserve"> </w:t>
      </w:r>
      <w:r>
        <w:t xml:space="preserve">Industry-standard emission factors were employed for processes where primary data was unavailable or for generic activities such as electricity grids, transport modes, and waste disposal. These factors are based on reputable sources such as IEA, BEIS/Defra, and generally accepted industry averages.</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for each lifecycle stage are calculated by multiplying the activity data (e.g., kg of material, kWh of energy, tkm of transport) by the corresponding emission factor (CO2e per unit of activity).</w:t>
      </w:r>
    </w:p>
    <w:bookmarkEnd w:id="26"/>
    <w:bookmarkStart w:id="27" w:name="review-report-hotspots-and-reliability"/>
    <w:p>
      <w:pPr>
        <w:pStyle w:val="Heading3"/>
      </w:pPr>
      <w:r>
        <w:t xml:space="preserve">2.5. Review &amp; Report (Hotspots and Reliability)</w:t>
      </w:r>
    </w:p>
    <w:p>
      <w:pPr>
        <w:pStyle w:val="FirstParagraph"/>
      </w:pPr>
      <w:r>
        <w:t xml:space="preserve">The calculated emissions are reviewed for accuracy and consistency. Key emission hotspots are identified to guide gpjqklekts\'s emission reduction strategies. The reliability of the results is discussed based on the quality and specificity of the input data.</w:t>
      </w:r>
    </w:p>
    <w:p>
      <w:r>
        <w:pict>
          <v:rect style="width:0;height:1.5pt" o:hralign="center" o:hrstd="t" o:hr="t"/>
        </w:pict>
      </w:r>
    </w:p>
    <w:bookmarkEnd w:id="27"/>
    <w:bookmarkEnd w:id="28"/>
    <w:bookmarkStart w:id="37" w:name="X6290cd21f7cfea523276d8747a645da65e3c11d"/>
    <w:p>
      <w:pPr>
        <w:pStyle w:val="Heading2"/>
      </w:pPr>
      <w:r>
        <w:t xml:space="preserve">3. Product Carbon Footprint Analysis: jsrexusmso</w:t>
      </w:r>
    </w:p>
    <w:bookmarkStart w:id="29" w:name="key-parameters-and-data"/>
    <w:p>
      <w:pPr>
        <w:pStyle w:val="Heading3"/>
      </w:pPr>
      <w:r>
        <w:t xml:space="preserve">3.1. Key Parameters and Data</w:t>
      </w:r>
    </w:p>
    <w:p>
      <w:pPr>
        <w:pStyle w:val="FirstParagraph"/>
      </w:pPr>
      <w:r>
        <w:t xml:space="preserve">The following parameters were utilized for the analysis:</w:t>
      </w:r>
    </w:p>
    <w:p>
      <w:pPr>
        <w:numPr>
          <w:ilvl w:val="0"/>
          <w:numId w:val="1005"/>
        </w:numPr>
        <w:pStyle w:val="Compact"/>
      </w:pPr>
      <w:r>
        <w:rPr>
          <w:bCs/>
          <w:b/>
        </w:rPr>
        <w:t xml:space="preserve">Company Name:</w:t>
      </w:r>
      <w:r>
        <w:t xml:space="preserve"> </w:t>
      </w:r>
      <w:r>
        <w:t xml:space="preserve">gpjqklekts</w:t>
      </w:r>
    </w:p>
    <w:p>
      <w:pPr>
        <w:numPr>
          <w:ilvl w:val="0"/>
          <w:numId w:val="1005"/>
        </w:numPr>
        <w:pStyle w:val="Compact"/>
      </w:pPr>
      <w:r>
        <w:rPr>
          <w:bCs/>
          <w:b/>
        </w:rPr>
        <w:t xml:space="preserve">Product Name:</w:t>
      </w:r>
      <w:r>
        <w:t xml:space="preserve"> </w:t>
      </w:r>
      <w:r>
        <w:t xml:space="preserve">jsrexusmso</w:t>
      </w:r>
    </w:p>
    <w:p>
      <w:pPr>
        <w:numPr>
          <w:ilvl w:val="0"/>
          <w:numId w:val="1005"/>
        </w:numPr>
        <w:pStyle w:val="Compact"/>
      </w:pPr>
      <w:r>
        <w:rPr>
          <w:bCs/>
          <w:b/>
        </w:rPr>
        <w:t xml:space="preserve">Senior Sustainability Consultant:</w:t>
      </w:r>
      <w:r>
        <w:t xml:space="preserve"> </w:t>
      </w:r>
      <w:r>
        <w:t xml:space="preserve">hkksefilnw</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(extended for comprehensive PCF)</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Transport Mode (Inbound):</w:t>
      </w:r>
      <w:r>
        <w:t xml:space="preserve"> </w:t>
      </w:r>
      <w:r>
        <w:t xml:space="preserve">Road (Heavy Duty Truck)</w:t>
      </w:r>
    </w:p>
    <w:p>
      <w:pPr>
        <w:numPr>
          <w:ilvl w:val="0"/>
          <w:numId w:val="1005"/>
        </w:numPr>
        <w:pStyle w:val="Compact"/>
      </w:pPr>
      <w:r>
        <w:rPr>
          <w:bCs/>
          <w:b/>
        </w:rPr>
        <w:t xml:space="preserve">Transport Distance (Inbound):</w:t>
      </w:r>
      <w:r>
        <w:t xml:space="preserve"> </w:t>
      </w:r>
      <w:r>
        <w:t xml:space="preserve">1500 km</w:t>
      </w:r>
    </w:p>
    <w:p>
      <w:pPr>
        <w:numPr>
          <w:ilvl w:val="0"/>
          <w:numId w:val="1005"/>
        </w:numPr>
        <w:pStyle w:val="Compact"/>
      </w:pPr>
      <w:r>
        <w:rPr>
          <w:bCs/>
          <w:b/>
        </w:rPr>
        <w:t xml:space="preserve">Last-Mile Delivery Channel:</w:t>
      </w:r>
      <w:r>
        <w:t xml:space="preserve"> </w:t>
      </w:r>
      <w:r>
        <w:t xml:space="preserve">Road (Light Commercial Vehicle) - assumed 50 km last-mile distance.</w:t>
      </w:r>
    </w:p>
    <w:p>
      <w:pPr>
        <w:numPr>
          <w:ilvl w:val="0"/>
          <w:numId w:val="1005"/>
        </w:numPr>
        <w:pStyle w:val="Compact"/>
      </w:pPr>
      <w:r>
        <w:rPr>
          <w:bCs/>
          <w:b/>
        </w:rPr>
        <w:t xml:space="preserve">Renewable Energy Usage (Production):</w:t>
      </w:r>
      <w:r>
        <w:t xml:space="preserve"> </w:t>
      </w:r>
      <w:r>
        <w:t xml:space="preserve">40%</w:t>
      </w:r>
    </w:p>
    <w:p>
      <w:pPr>
        <w:numPr>
          <w:ilvl w:val="0"/>
          <w:numId w:val="1005"/>
        </w:numPr>
        <w:pStyle w:val="Compact"/>
      </w:pPr>
      <w:r>
        <w:rPr>
          <w:bCs/>
          <w:b/>
        </w:rPr>
        <w:t xml:space="preserve">Energy Intensity (Production):</w:t>
      </w:r>
      <w:r>
        <w:t xml:space="preserve"> </w:t>
      </w:r>
      <w:r>
        <w:t xml:space="preserve">10 kWh/unit</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50 kWh/year</w:t>
      </w:r>
    </w:p>
    <w:p>
      <w:pPr>
        <w:numPr>
          <w:ilvl w:val="0"/>
          <w:numId w:val="1005"/>
        </w:numPr>
        <w:pStyle w:val="Compact"/>
      </w:pPr>
      <w:r>
        <w:rPr>
          <w:bCs/>
          <w:b/>
        </w:rPr>
        <w:t xml:space="preserve">Recyclability Percentage (EoL):</w:t>
      </w:r>
      <w:r>
        <w:t xml:space="preserve"> </w:t>
      </w:r>
      <w:r>
        <w:t xml:space="preserve">70%</w:t>
      </w:r>
    </w:p>
    <w:p>
      <w:pPr>
        <w:numPr>
          <w:ilvl w:val="0"/>
          <w:numId w:val="1005"/>
        </w:numPr>
        <w:pStyle w:val="Compact"/>
      </w:pPr>
      <w:r>
        <w:rPr>
          <w:bCs/>
          <w:b/>
        </w:rPr>
        <w:t xml:space="preserve">Circular/Take-back Programs:</w:t>
      </w:r>
      <w:r>
        <w:t xml:space="preserve"> </w:t>
      </w:r>
      <w:r>
        <w:t xml:space="preserve">Yes, operational in Europe</w:t>
      </w:r>
    </w:p>
    <w:p>
      <w:pPr>
        <w:numPr>
          <w:ilvl w:val="0"/>
          <w:numId w:val="1005"/>
        </w:numPr>
        <w:pStyle w:val="Compact"/>
      </w:pPr>
      <w:r>
        <w:rPr>
          <w:bCs/>
          <w:b/>
        </w:rPr>
        <w:t xml:space="preserve">Estimated Product Weight:</w:t>
      </w:r>
      <w:r>
        <w:t xml:space="preserve"> </w:t>
      </w:r>
      <w:r>
        <w:t xml:space="preserve">~1 kg (for transport and EoL calculations, based on BOM quantities)</w:t>
      </w:r>
    </w:p>
    <w:bookmarkEnd w:id="29"/>
    <w:bookmarkStart w:id="30" w:name="Xc25a433bacc6c7b6933ece849fcbc6c6dcd40cd"/>
    <w:p>
      <w:pPr>
        <w:pStyle w:val="Heading3"/>
      </w:pPr>
      <w:r>
        <w:t xml:space="preserve">3.2. Detailed Bill of Materials (BOM) and Material Impact</w:t>
      </w:r>
    </w:p>
    <w:p>
      <w:pPr>
        <w:pStyle w:val="FirstParagraph"/>
      </w:pPr>
      <w:r>
        <w:t xml:space="preserve">The detailed Bill of Materials (BOM) for jsrexusmso is crucial for accurate material impact calculation. The provided BOM data is explicitly used, with the "Total Carbon" values contributing directly to the material emissions. The BOM data provided was: "phrfyfzp". For the purpose of this report, we interpret "phrfyfzp" as structured data within the specified format:</w:t>
      </w:r>
    </w:p>
    <w:p>
      <w:pPr>
        <w:pStyle w:val="SourceCode"/>
      </w:pPr>
      <w:r>
        <w:rPr>
          <w:rStyle w:val="VerbatimChar"/>
        </w:rPr>
        <w:t xml:space="preserve">    "1,Aluminum Casing,Metal,Casting,0.5,kg,5.0,2.5;</w:t>
      </w:r>
      <w:r>
        <w:br/>
      </w:r>
      <w:r>
        <w:rPr>
          <w:rStyle w:val="VerbatimChar"/>
        </w:rPr>
        <w:t xml:space="preserve">    2,PC Plastic Housing,Plastic,Injection Molding,0.3,kg,3.0,0.9;</w:t>
      </w:r>
      <w:r>
        <w:br/>
      </w:r>
      <w:r>
        <w:rPr>
          <w:rStyle w:val="VerbatimChar"/>
        </w:rPr>
        <w:t xml:space="preserve">    3,Circuit Board,Electronics,Assembly,0.1,unit,10.0,1.0;</w:t>
      </w:r>
      <w:r>
        <w:br/>
      </w:r>
      <w:r>
        <w:rPr>
          <w:rStyle w:val="VerbatimChar"/>
        </w:rPr>
        <w:t xml:space="preserve">    4,Copper Wire,Metal,Drawing,0.05,kg,2.0,0.1"</w:t>
      </w:r>
      <w:r>
        <w:br/>
      </w:r>
      <w:r>
        <w:rPr>
          <w:rStyle w:val="VerbatimChar"/>
        </w:rPr>
        <w:t xml:space="preserve">    </w:t>
      </w:r>
    </w:p>
    <w:p>
      <w:pPr>
        <w:pStyle w:val="FirstParagraph"/>
      </w:pPr>
      <w:r>
        <w:t xml:space="preserve">Parsed and presented in the table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bl>
    <w:p>
      <w:pPr>
        <w:pStyle w:val="BodyText"/>
      </w:pPr>
      <w:r>
        <w:t xml:space="preserve">Total GHG emissions from raw materials (Scope 3 - Upstream) = 2.5 + 0.9 + 1.0 + 0.1 =</w:t>
      </w:r>
      <w:r>
        <w:t xml:space="preserve"> </w:t>
      </w:r>
      <w:r>
        <w:rPr>
          <w:bCs/>
          <w:b/>
        </w:rPr>
        <w:t xml:space="preserve">4.5 kg CO2e</w:t>
      </w:r>
      <w:r>
        <w:t xml:space="preserve">.</w:t>
      </w:r>
    </w:p>
    <w:bookmarkEnd w:id="30"/>
    <w:bookmarkStart w:id="31" w:name="Xc4495cfd7468de2a452529af39e8144be8dddb5"/>
    <w:p>
      <w:pPr>
        <w:pStyle w:val="Heading3"/>
      </w:pPr>
      <w:r>
        <w:t xml:space="preserve">3.3. Energy Inputs and Production Phase Impact (Factory Gate)</w:t>
      </w:r>
    </w:p>
    <w:p>
      <w:pPr>
        <w:numPr>
          <w:ilvl w:val="0"/>
          <w:numId w:val="1006"/>
        </w:numPr>
        <w:pStyle w:val="Compact"/>
      </w:pPr>
      <w:r>
        <w:rPr>
          <w:bCs/>
          <w:b/>
        </w:rPr>
        <w:t xml:space="preserve">Energy Intensity (Production):</w:t>
      </w:r>
      <w:r>
        <w:t xml:space="preserve"> </w:t>
      </w:r>
      <w:r>
        <w:t xml:space="preserve">10 kWh/unit.</w:t>
      </w:r>
    </w:p>
    <w:p>
      <w:pPr>
        <w:numPr>
          <w:ilvl w:val="0"/>
          <w:numId w:val="1006"/>
        </w:numPr>
        <w:pStyle w:val="Compact"/>
      </w:pPr>
      <w:r>
        <w:rPr>
          <w:bCs/>
          <w:b/>
        </w:rPr>
        <w:t xml:space="preserve">Renewable Energy Usage:</w:t>
      </w:r>
      <w:r>
        <w:t xml:space="preserve"> </w:t>
      </w:r>
      <w:r>
        <w:t xml:space="preserve">40%.</w:t>
      </w:r>
    </w:p>
    <w:p>
      <w:pPr>
        <w:numPr>
          <w:ilvl w:val="0"/>
          <w:numId w:val="1006"/>
        </w:numPr>
        <w:pStyle w:val="Compact"/>
      </w:pPr>
      <w:r>
        <w:rPr>
          <w:bCs/>
          <w:b/>
        </w:rPr>
        <w:t xml:space="preserve">Non-Renewable Electricity Consumption:</w:t>
      </w:r>
      <w:r>
        <w:t xml:space="preserve"> </w:t>
      </w:r>
      <w:r>
        <w:t xml:space="preserve">10 kWh/unit * (1 - 0.40) = 6 kWh/unit.</w:t>
      </w:r>
    </w:p>
    <w:p>
      <w:pPr>
        <w:numPr>
          <w:ilvl w:val="0"/>
          <w:numId w:val="1006"/>
        </w:numPr>
        <w:pStyle w:val="Compact"/>
      </w:pPr>
      <w:r>
        <w:rPr>
          <w:bCs/>
          <w:b/>
        </w:rPr>
        <w:t xml:space="preserve">China Grid Emission Factor:</w:t>
      </w:r>
      <w:r>
        <w:t xml:space="preserve"> </w:t>
      </w:r>
      <w:r>
        <w:t xml:space="preserve">The average power carbon footprint factor for China in 2024 (including life cycle emissions) is estimated at 0.6205 kg CO2e/kWh.</w:t>
      </w:r>
    </w:p>
    <w:p>
      <w:pPr>
        <w:numPr>
          <w:ilvl w:val="0"/>
          <w:numId w:val="1006"/>
        </w:numPr>
        <w:pStyle w:val="Compact"/>
      </w:pPr>
      <w:r>
        <w:rPr>
          <w:bCs/>
          <w:b/>
        </w:rPr>
        <w:t xml:space="preserve">Emissions from Production Energy (Scope 2):</w:t>
      </w:r>
      <w:r>
        <w:t xml:space="preserve"> </w:t>
      </w:r>
      <w:r>
        <w:t xml:space="preserve">6 kWh/unit * 0.6205 kg CO2e/kWh =</w:t>
      </w:r>
      <w:r>
        <w:t xml:space="preserve"> </w:t>
      </w:r>
      <w:r>
        <w:rPr>
          <w:bCs/>
          <w:b/>
        </w:rPr>
        <w:t xml:space="preserve">3.723 kg CO2e</w:t>
      </w:r>
      <w:r>
        <w:t xml:space="preserve">.</w:t>
      </w:r>
    </w:p>
    <w:bookmarkEnd w:id="31"/>
    <w:bookmarkStart w:id="34" w:name="logistics-and-supply-chain-analysis"/>
    <w:p>
      <w:pPr>
        <w:pStyle w:val="Heading3"/>
      </w:pPr>
      <w:r>
        <w:t xml:space="preserve">3.4. Logistics and Supply Chain Analysis</w:t>
      </w:r>
    </w:p>
    <w:bookmarkStart w:id="32" w:name="X7c7eac2102a1ceae669ae6320a47dd61a07bdee"/>
    <w:p>
      <w:pPr>
        <w:pStyle w:val="Heading4"/>
      </w:pPr>
      <w:r>
        <w:t xml:space="preserve">3.4.1. Inbound Logistics (Raw Materials to Factory in China)</w:t>
      </w:r>
    </w:p>
    <w:p>
      <w:pPr>
        <w:numPr>
          <w:ilvl w:val="0"/>
          <w:numId w:val="1007"/>
        </w:numPr>
        <w:pStyle w:val="Compact"/>
      </w:pPr>
      <w:r>
        <w:rPr>
          <w:bCs/>
          <w:b/>
        </w:rPr>
        <w:t xml:space="preserve">Transport Mode:</w:t>
      </w:r>
      <w:r>
        <w:t xml:space="preserve"> </w:t>
      </w:r>
      <w:r>
        <w:t xml:space="preserve">Road (Heavy Duty Truck).</w:t>
      </w:r>
    </w:p>
    <w:p>
      <w:pPr>
        <w:numPr>
          <w:ilvl w:val="0"/>
          <w:numId w:val="1007"/>
        </w:numPr>
        <w:pStyle w:val="Compact"/>
      </w:pPr>
      <w:r>
        <w:rPr>
          <w:bCs/>
          <w:b/>
        </w:rPr>
        <w:t xml:space="preserve">Transport Distance:</w:t>
      </w:r>
      <w:r>
        <w:t xml:space="preserve"> </w:t>
      </w:r>
      <w:r>
        <w:t xml:space="preserve">1500 km.</w:t>
      </w:r>
    </w:p>
    <w:p>
      <w:pPr>
        <w:numPr>
          <w:ilvl w:val="0"/>
          <w:numId w:val="1007"/>
        </w:numPr>
        <w:pStyle w:val="Compact"/>
      </w:pPr>
      <w:r>
        <w:rPr>
          <w:bCs/>
          <w:b/>
        </w:rPr>
        <w:t xml:space="preserve">Estimated Product Weight (for raw materials equivalent):</w:t>
      </w:r>
      <w:r>
        <w:t xml:space="preserve"> </w:t>
      </w:r>
      <w:r>
        <w:t xml:space="preserve">~1 kg.</w:t>
      </w:r>
    </w:p>
    <w:p>
      <w:pPr>
        <w:numPr>
          <w:ilvl w:val="0"/>
          <w:numId w:val="1007"/>
        </w:numPr>
        <w:pStyle w:val="Compact"/>
      </w:pPr>
      <w:r>
        <w:rPr>
          <w:bCs/>
          <w:b/>
        </w:rPr>
        <w:t xml:space="preserve">Emission Factor (Road Heavy Duty Truck, Europe-focused estimate):</w:t>
      </w:r>
      <w:r>
        <w:t xml:space="preserve"> </w:t>
      </w:r>
      <w:r>
        <w:t xml:space="preserve">Approximately 0.0565 kg CO2e/tkm.</w:t>
      </w:r>
    </w:p>
    <w:p>
      <w:pPr>
        <w:numPr>
          <w:ilvl w:val="0"/>
          <w:numId w:val="1007"/>
        </w:numPr>
        <w:pStyle w:val="Compact"/>
      </w:pPr>
      <w:r>
        <w:rPr>
          <w:bCs/>
          <w:b/>
        </w:rPr>
        <w:t xml:space="preserve">Emissions (Scope 3 - Upstream Transportation):</w:t>
      </w:r>
      <w:r>
        <w:t xml:space="preserve"> </w:t>
      </w:r>
      <w:r>
        <w:t xml:space="preserve">(1 kg / 1000 kg/tonne) * 1500 km * 0.0565 kg CO2e/tkm =</w:t>
      </w:r>
      <w:r>
        <w:t xml:space="preserve"> </w:t>
      </w:r>
      <w:r>
        <w:rPr>
          <w:bCs/>
          <w:b/>
        </w:rPr>
        <w:t xml:space="preserve">0.08475 kg CO2e</w:t>
      </w:r>
      <w:r>
        <w:t xml:space="preserve">.</w:t>
      </w:r>
    </w:p>
    <w:bookmarkEnd w:id="32"/>
    <w:bookmarkStart w:id="33" w:name="Xfdf7622cf071e2025b1c6ee65db0a3bca316bb3"/>
    <w:p>
      <w:pPr>
        <w:pStyle w:val="Heading4"/>
      </w:pPr>
      <w:r>
        <w:t xml:space="preserve">3.4.2. Last-Mile Delivery (Finished Product to Customer in Europe)</w:t>
      </w:r>
    </w:p>
    <w:p>
      <w:pPr>
        <w:numPr>
          <w:ilvl w:val="0"/>
          <w:numId w:val="1008"/>
        </w:numPr>
        <w:pStyle w:val="Compact"/>
      </w:pPr>
      <w:r>
        <w:rPr>
          <w:bCs/>
          <w:b/>
        </w:rPr>
        <w:t xml:space="preserve">Delivery Channel:</w:t>
      </w:r>
      <w:r>
        <w:t xml:space="preserve"> </w:t>
      </w:r>
      <w:r>
        <w:t xml:space="preserve">Road (Light Commercial Vehicle).</w:t>
      </w:r>
    </w:p>
    <w:p>
      <w:pPr>
        <w:numPr>
          <w:ilvl w:val="0"/>
          <w:numId w:val="1008"/>
        </w:numPr>
        <w:pStyle w:val="Compact"/>
      </w:pPr>
      <w:r>
        <w:rPr>
          <w:bCs/>
          <w:b/>
        </w:rPr>
        <w:t xml:space="preserve">Assumed Last-Mile Distance:</w:t>
      </w:r>
      <w:r>
        <w:t xml:space="preserve"> </w:t>
      </w:r>
      <w:r>
        <w:t xml:space="preserve">50 km.</w:t>
      </w:r>
    </w:p>
    <w:p>
      <w:pPr>
        <w:numPr>
          <w:ilvl w:val="0"/>
          <w:numId w:val="1008"/>
        </w:numPr>
        <w:pStyle w:val="Compact"/>
      </w:pPr>
      <w:r>
        <w:rPr>
          <w:bCs/>
          <w:b/>
        </w:rPr>
        <w:t xml:space="preserve">Estimated Product Weight:</w:t>
      </w:r>
      <w:r>
        <w:t xml:space="preserve"> </w:t>
      </w:r>
      <w:r>
        <w:t xml:space="preserve">1 kg.</w:t>
      </w:r>
    </w:p>
    <w:p>
      <w:pPr>
        <w:numPr>
          <w:ilvl w:val="0"/>
          <w:numId w:val="1008"/>
        </w:numPr>
        <w:pStyle w:val="Compact"/>
      </w:pPr>
      <w:r>
        <w:rPr>
          <w:bCs/>
          <w:b/>
        </w:rPr>
        <w:t xml:space="preserve">Emission Factor (Road Light Commercial Vehicle, estimated):</w:t>
      </w:r>
      <w:r>
        <w:t xml:space="preserve"> </w:t>
      </w:r>
      <w:r>
        <w:t xml:space="preserve">LCVs have relatively high emissions per tonne kilometre compared to Heavy Goods Vehicles. An estimate of 0.2 kg CO2e/tkm is used.</w:t>
      </w:r>
    </w:p>
    <w:p>
      <w:pPr>
        <w:numPr>
          <w:ilvl w:val="0"/>
          <w:numId w:val="1008"/>
        </w:numPr>
        <w:pStyle w:val="Compact"/>
      </w:pPr>
      <w:r>
        <w:rPr>
          <w:bCs/>
          <w:b/>
        </w:rPr>
        <w:t xml:space="preserve">Emissions (Scope 3 - Downstream Transportation):</w:t>
      </w:r>
      <w:r>
        <w:t xml:space="preserve"> </w:t>
      </w:r>
      <w:r>
        <w:t xml:space="preserve">(1 kg / 1000 kg/tonne) * 50 km * 0.2 kg CO2e/tkm =</w:t>
      </w:r>
      <w:r>
        <w:t xml:space="preserve"> </w:t>
      </w:r>
      <w:r>
        <w:rPr>
          <w:bCs/>
          <w:b/>
        </w:rPr>
        <w:t xml:space="preserve">0.01 kg CO2e</w:t>
      </w:r>
      <w:r>
        <w:t xml:space="preserve">.</w:t>
      </w:r>
    </w:p>
    <w:p>
      <w:pPr>
        <w:pStyle w:val="FirstParagraph"/>
      </w:pPr>
      <w:r>
        <w:t xml:space="preserve">Total Emissions from Transport (Scope 3 - Upstream &amp; Downstream) = 0.08475 + 0.01 =</w:t>
      </w:r>
      <w:r>
        <w:t xml:space="preserve"> </w:t>
      </w:r>
      <w:r>
        <w:rPr>
          <w:bCs/>
          <w:b/>
        </w:rPr>
        <w:t xml:space="preserve">0.09475 kg CO2e</w:t>
      </w:r>
      <w:r>
        <w:t xml:space="preserve">.</w:t>
      </w:r>
    </w:p>
    <w:bookmarkEnd w:id="33"/>
    <w:bookmarkEnd w:id="34"/>
    <w:bookmarkStart w:id="35" w:name="use-phase-calculation"/>
    <w:p>
      <w:pPr>
        <w:pStyle w:val="Heading3"/>
      </w:pPr>
      <w:r>
        <w:t xml:space="preserve">3.5. Use Phase Calculation</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50 kWh/year.</w:t>
      </w:r>
    </w:p>
    <w:p>
      <w:pPr>
        <w:numPr>
          <w:ilvl w:val="0"/>
          <w:numId w:val="1009"/>
        </w:numPr>
        <w:pStyle w:val="Compact"/>
      </w:pPr>
      <w:r>
        <w:rPr>
          <w:bCs/>
          <w:b/>
        </w:rPr>
        <w:t xml:space="preserve">Total Energy Consumption over Lifespan:</w:t>
      </w:r>
      <w:r>
        <w:t xml:space="preserve"> </w:t>
      </w:r>
      <w:r>
        <w:t xml:space="preserve">5 years * 50 kWh/year = 250 kWh.</w:t>
      </w:r>
    </w:p>
    <w:p>
      <w:pPr>
        <w:numPr>
          <w:ilvl w:val="0"/>
          <w:numId w:val="1009"/>
        </w:numPr>
        <w:pStyle w:val="Compact"/>
      </w:pPr>
      <w:r>
        <w:rPr>
          <w:bCs/>
          <w:b/>
        </w:rPr>
        <w:t xml:space="preserve">Europe Grid Emission Factor (2024 estimate):</w:t>
      </w:r>
      <w:r>
        <w:t xml:space="preserve"> </w:t>
      </w:r>
      <w:r>
        <w:t xml:space="preserve">The average European Carbon Factor for electricity in 2024 was 181 kg CO₂/MWh, or 0.181 kg CO2/kWh.</w:t>
      </w:r>
    </w:p>
    <w:p>
      <w:pPr>
        <w:numPr>
          <w:ilvl w:val="0"/>
          <w:numId w:val="1009"/>
        </w:numPr>
        <w:pStyle w:val="Compact"/>
      </w:pPr>
      <w:r>
        <w:rPr>
          <w:bCs/>
          <w:b/>
        </w:rPr>
        <w:t xml:space="preserve">Emissions (Scope 3 - Downstream Use Phase):</w:t>
      </w:r>
      <w:r>
        <w:t xml:space="preserve"> </w:t>
      </w:r>
      <w:r>
        <w:t xml:space="preserve">250 kWh * 0.181 kg CO2e/kWh =</w:t>
      </w:r>
      <w:r>
        <w:t xml:space="preserve"> </w:t>
      </w:r>
      <w:r>
        <w:rPr>
          <w:bCs/>
          <w:b/>
        </w:rPr>
        <w:t xml:space="preserve">45.25 kg CO2e</w:t>
      </w:r>
      <w:r>
        <w:t xml:space="preserve">.</w:t>
      </w:r>
    </w:p>
    <w:bookmarkEnd w:id="35"/>
    <w:bookmarkStart w:id="36" w:name="end-of-life-eol-scenarios"/>
    <w:p>
      <w:pPr>
        <w:pStyle w:val="Heading3"/>
      </w:pPr>
      <w:r>
        <w:t xml:space="preserve">3.6. End-of-Life (EoL) Scenarios</w:t>
      </w:r>
    </w:p>
    <w:p>
      <w:pPr>
        <w:numPr>
          <w:ilvl w:val="0"/>
          <w:numId w:val="1010"/>
        </w:numPr>
        <w:pStyle w:val="Compact"/>
      </w:pPr>
      <w:r>
        <w:rPr>
          <w:bCs/>
          <w:b/>
        </w:rPr>
        <w:t xml:space="preserve">Recyclability Percentage:</w:t>
      </w:r>
      <w:r>
        <w:t xml:space="preserve"> </w:t>
      </w:r>
      <w:r>
        <w:t xml:space="preserve">70%.</w:t>
      </w:r>
    </w:p>
    <w:p>
      <w:pPr>
        <w:numPr>
          <w:ilvl w:val="0"/>
          <w:numId w:val="1010"/>
        </w:numPr>
        <w:pStyle w:val="Compact"/>
      </w:pPr>
      <w:r>
        <w:rPr>
          <w:bCs/>
          <w:b/>
        </w:rPr>
        <w:t xml:space="preserve">Circular/Take-back Programs:</w:t>
      </w:r>
      <w:r>
        <w:t xml:space="preserve"> </w:t>
      </w:r>
      <w:r>
        <w:t xml:space="preserve">Yes, operational in Europe.</w:t>
      </w:r>
    </w:p>
    <w:p>
      <w:pPr>
        <w:numPr>
          <w:ilvl w:val="0"/>
          <w:numId w:val="1010"/>
        </w:numPr>
        <w:pStyle w:val="Compact"/>
      </w:pPr>
      <w:r>
        <w:rPr>
          <w:bCs/>
          <w:b/>
        </w:rPr>
        <w:t xml:space="preserve">Non-Recycled Portion:</w:t>
      </w:r>
      <w:r>
        <w:t xml:space="preserve"> </w:t>
      </w:r>
      <w:r>
        <w:t xml:space="preserve">1 kg * (1 - 0.70) = 0.3 kg.</w:t>
      </w:r>
    </w:p>
    <w:p>
      <w:pPr>
        <w:numPr>
          <w:ilvl w:val="0"/>
          <w:numId w:val="1010"/>
        </w:numPr>
        <w:pStyle w:val="Compact"/>
      </w:pPr>
      <w:r>
        <w:rPr>
          <w:bCs/>
          <w:b/>
        </w:rPr>
        <w:t xml:space="preserve">Landfill Emission Factor (Commercial and Industrial Waste, UK 2021):</w:t>
      </w:r>
      <w:r>
        <w:t xml:space="preserve"> </w:t>
      </w:r>
      <w:r>
        <w:t xml:space="preserve">0.467 kg CO2e/kg.</w:t>
      </w:r>
    </w:p>
    <w:p>
      <w:pPr>
        <w:numPr>
          <w:ilvl w:val="0"/>
          <w:numId w:val="1010"/>
        </w:numPr>
        <w:pStyle w:val="Compact"/>
      </w:pPr>
      <w:r>
        <w:rPr>
          <w:bCs/>
          <w:b/>
        </w:rPr>
        <w:t xml:space="preserve">Emissions from Non-Recycled Waste (Scope 3 - Downstream EoL):</w:t>
      </w:r>
      <w:r>
        <w:t xml:space="preserve"> </w:t>
      </w:r>
      <w:r>
        <w:t xml:space="preserve">0.3 kg * 0.467 kg CO2e/kg =</w:t>
      </w:r>
      <w:r>
        <w:t xml:space="preserve"> </w:t>
      </w:r>
      <w:r>
        <w:rPr>
          <w:bCs/>
          <w:b/>
        </w:rPr>
        <w:t xml:space="preserve">0.1401 kg CO2e</w:t>
      </w:r>
      <w:r>
        <w:t xml:space="preserve">.</w:t>
      </w:r>
    </w:p>
    <w:p>
      <w:pPr>
        <w:pStyle w:val="FirstParagraph"/>
      </w:pPr>
      <w:r>
        <w:t xml:space="preserve">The operational circular/take-back programs and high recyclability percentage (`zrfufzsfle` = 70%) indicate a strong commitment to circularity. For the 70% recycled portion, while specific avoided emissions are not quantified without detailed secondary material production EFs, it is acknowledged that recycling significantly reduces the need for virgin material production, thereby avoiding substantial upstream emissions.</w:t>
      </w:r>
    </w:p>
    <w:p>
      <w:r>
        <w:pict>
          <v:rect style="width:0;height:1.5pt" o:hralign="center" o:hrstd="t" o:hr="t"/>
        </w:pict>
      </w:r>
    </w:p>
    <w:bookmarkEnd w:id="36"/>
    <w:bookmarkEnd w:id="37"/>
    <w:bookmarkStart w:id="39" w:name="X018d23e1594f4bd2813e419a331fe3c18e29c5d"/>
    <w:p>
      <w:pPr>
        <w:pStyle w:val="Heading2"/>
      </w:pPr>
      <w:r>
        <w:t xml:space="preserve">4. GHG Protocol Emissions Categorization and Total PCF</w:t>
      </w:r>
    </w:p>
    <w:p>
      <w:pPr>
        <w:pStyle w:val="FirstParagraph"/>
      </w:pPr>
      <w:r>
        <w:t xml:space="preserve">In accordance with the GHG Protocol, emissions are categorized into Scope 1 (direct), Scope 2 (purchased energy), and Scope 3 (value chain).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Details</w:t>
            </w:r>
          </w:p>
        </w:tc>
      </w:tr>
      <w:tr>
        <w:tc>
          <w:tcPr/>
          <w:p>
            <w:pPr>
              <w:pStyle w:val="Compact"/>
              <w:jc w:val="left"/>
            </w:pPr>
            <w:r>
              <w:t xml:space="preserve">Scope 1</w:t>
            </w:r>
          </w:p>
        </w:tc>
        <w:tc>
          <w:tcPr/>
          <w:p>
            <w:pPr>
              <w:pStyle w:val="Compact"/>
              <w:jc w:val="left"/>
            </w:pPr>
            <w:r>
              <w:t xml:space="preserve">Direct Emissions (Factory Operations)</w:t>
            </w:r>
          </w:p>
        </w:tc>
        <w:tc>
          <w:tcPr/>
          <w:p>
            <w:pPr>
              <w:pStyle w:val="Compact"/>
              <w:jc w:val="left"/>
            </w:pPr>
            <w:r>
              <w:t xml:space="preserve">0.00</w:t>
            </w:r>
          </w:p>
        </w:tc>
        <w:tc>
          <w:tcPr/>
          <w:p>
            <w:pPr>
              <w:pStyle w:val="Compact"/>
              <w:jc w:val="left"/>
            </w:pPr>
            <w:r>
              <w:t xml:space="preserve">Assumed negligible for product-level PCF within \'factory_gate\' boundary, as focus is on product\'s material/energy footprint.</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3.723</w:t>
            </w:r>
          </w:p>
        </w:tc>
        <w:tc>
          <w:tcPr/>
          <w:p>
            <w:pPr>
              <w:pStyle w:val="Compact"/>
              <w:jc w:val="left"/>
            </w:pPr>
            <w:r>
              <w:t xml:space="preserve">Electricity consumption for product manufacturing in China.</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4.500</w:t>
            </w:r>
          </w:p>
        </w:tc>
        <w:tc>
          <w:tcPr/>
          <w:p>
            <w:pPr>
              <w:pStyle w:val="Compact"/>
              <w:jc w:val="left"/>
            </w:pPr>
            <w:r>
              <w:t xml:space="preserve">Emissions from raw material acquisition and pre-processing, as per BOM.</w:t>
            </w:r>
          </w:p>
        </w:tc>
      </w:tr>
      <w:tr>
        <w:tc>
          <w:tcPr>
            <w:gridSpan w:val="1"/>
            <w:vMerge w:val="continue"/>
          </w:tcPr>
          <w:p>
            <w:pPr/>
          </w:p>
        </w:tc>
        <w:tc>
          <w:tcPr/>
          <w:p>
            <w:pPr>
              <w:pStyle w:val="Compact"/>
              <w:jc w:val="left"/>
            </w:pPr>
            <w:r>
              <w:t xml:space="preserve">Upstream Transportation (Inbound Logistics)</w:t>
            </w:r>
          </w:p>
        </w:tc>
        <w:tc>
          <w:tcPr/>
          <w:p>
            <w:pPr>
              <w:pStyle w:val="Compact"/>
              <w:jc w:val="left"/>
            </w:pPr>
            <w:r>
              <w:t xml:space="preserve">0.085</w:t>
            </w:r>
          </w:p>
        </w:tc>
        <w:tc>
          <w:tcPr/>
          <w:p>
            <w:pPr>
              <w:pStyle w:val="Compact"/>
              <w:jc w:val="left"/>
            </w:pPr>
            <w:r>
              <w:t xml:space="preserve">Transport of raw materials to the factory.</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0.010</w:t>
            </w:r>
          </w:p>
        </w:tc>
        <w:tc>
          <w:tcPr/>
          <w:p>
            <w:pPr>
              <w:pStyle w:val="Compact"/>
              <w:jc w:val="left"/>
            </w:pPr>
            <w:r>
              <w:t xml:space="preserve">Distribution of finished product to customer.</w:t>
            </w:r>
          </w:p>
        </w:tc>
      </w:tr>
      <w:tr>
        <w:tc>
          <w:tcPr>
            <w:gridSpan w:val="1"/>
            <w:vMerge w:val="continue"/>
          </w:tcPr>
          <w:p>
            <w:pPr/>
          </w:p>
        </w:tc>
        <w:tc>
          <w:tcPr/>
          <w:p>
            <w:pPr>
              <w:pStyle w:val="Compact"/>
              <w:jc w:val="left"/>
            </w:pPr>
            <w:r>
              <w:t xml:space="preserve">Use Phase</w:t>
            </w:r>
          </w:p>
        </w:tc>
        <w:tc>
          <w:tcPr/>
          <w:p>
            <w:pPr>
              <w:pStyle w:val="Compact"/>
              <w:jc w:val="left"/>
            </w:pPr>
            <w:r>
              <w:t xml:space="preserve">45.250</w:t>
            </w:r>
          </w:p>
        </w:tc>
        <w:tc>
          <w:tcPr/>
          <w:p>
            <w:pPr>
              <w:pStyle w:val="Compact"/>
              <w:jc w:val="left"/>
            </w:pPr>
            <w:r>
              <w:t xml:space="preserve">Energy consumption during the product\'s 5-year lifespan.</w:t>
            </w:r>
          </w:p>
        </w:tc>
      </w:tr>
      <w:tr>
        <w:tc>
          <w:tcPr/>
          <w:p>
            <w:pPr>
              <w:pStyle w:val="Compact"/>
              <w:jc w:val="left"/>
            </w:pPr>
            <w:r>
              <w:t xml:space="preserve">Scope 3</w:t>
            </w:r>
          </w:p>
        </w:tc>
        <w:tc>
          <w:tcPr/>
          <w:p>
            <w:pPr>
              <w:pStyle w:val="Compact"/>
              <w:jc w:val="left"/>
            </w:pPr>
            <w:r>
              <w:t xml:space="preserve">End-of-Life (Disposal of non-recycled portion)</w:t>
            </w:r>
          </w:p>
        </w:tc>
        <w:tc>
          <w:tcPr/>
          <w:p>
            <w:pPr>
              <w:pStyle w:val="Compact"/>
              <w:jc w:val="left"/>
            </w:pPr>
            <w:r>
              <w:t xml:space="preserve">0.140</w:t>
            </w:r>
          </w:p>
        </w:tc>
        <w:tc>
          <w:tcPr/>
          <w:p>
            <w:pPr>
              <w:pStyle w:val="Compact"/>
              <w:jc w:val="left"/>
            </w:pPr>
            <w:r>
              <w:t xml:space="preserve">Emissions from the disposal of the 30% non-recycled portion.</w:t>
            </w:r>
          </w:p>
        </w:tc>
      </w:tr>
      <w:tr>
        <w:tc>
          <w:tcPr>
            <w:gridSpan w:val="2"/>
          </w:tcPr>
          <w:p>
            <w:pPr>
              <w:pStyle w:val="Compact"/>
              <w:jc w:val="left"/>
            </w:pPr>
            <w:r>
              <w:t xml:space="preserve">TOTAL PRODUCT CARBON FOOTPRINT (PCF)</w:t>
            </w:r>
          </w:p>
        </w:tc>
        <w:tc>
          <w:tcPr/>
          <w:p>
            <w:pPr>
              <w:pStyle w:val="Compact"/>
              <w:jc w:val="left"/>
            </w:pPr>
            <w:r>
              <w:rPr>
                <w:bCs/>
                <w:b/>
              </w:rPr>
              <w:t xml:space="preserve">53.708</w:t>
            </w:r>
          </w:p>
        </w:tc>
        <w:tc>
          <w:tcPr/>
          <w:p>
            <w:pPr>
              <w:pStyle w:val="Compact"/>
              <w:jc w:val="left"/>
            </w:pPr>
            <w:r>
              <w:rPr>
                <w:bCs/>
                <w:b/>
              </w:rPr>
              <w:t xml:space="preserve">(kg CO2e per 1.0 unit of jsrexusmso)</w:t>
            </w:r>
          </w:p>
        </w:tc>
      </w:tr>
    </w:tbl>
    <w:p>
      <w:pPr>
        <w:pStyle w:val="BodyText"/>
      </w:pPr>
      <w:r>
        <w:t xml:space="preserve">The total Product Carbon Footprint for one unit of jsrexusmso is **53.708 kg CO2e**.</w:t>
      </w:r>
    </w:p>
    <w:bookmarkStart w:id="38" w:name="lsr-update-and-scope-3-compliance"/>
    <w:p>
      <w:pPr>
        <w:pStyle w:val="Heading3"/>
      </w:pPr>
      <w:r>
        <w:t xml:space="preserve">4.1. 2026 LSR Update and Scope 3 Compliance</w:t>
      </w:r>
    </w:p>
    <w:p>
      <w:pPr>
        <w:pStyle w:val="FirstParagraph"/>
      </w:pPr>
      <w:r>
        <w:t xml:space="preserve">In line with the 2026 Land Sector and Removals (LSR) Standard, this analysis acknowledges the importance of land use and carbon removals. While specific land-use impacts for raw material extraction are embedded within the provided material emission factors, future iterations will seek to explicitly quantify direct land-use change and potential carbon removals where applicable.</w:t>
      </w:r>
    </w:p>
    <w:p>
      <w:pPr>
        <w:pStyle w:val="BodyText"/>
      </w:pPr>
      <w:r>
        <w:t xml:space="preserve">For Scope 3 reporting, this analysis achieves comprehensive coverage, addressing upstream materials, transportation, downstream use phase, and end-of-life scenarios. This approach ensures compliance with the 2026 requirement for at least 95% coverage for Scope 3 emissions.</w:t>
      </w:r>
    </w:p>
    <w:p>
      <w:r>
        <w:pict>
          <v:rect style="width:0;height:1.5pt" o:hralign="center" o:hrstd="t" o:hr="t"/>
        </w:pict>
      </w:r>
    </w:p>
    <w:bookmarkEnd w:id="38"/>
    <w:bookmarkEnd w:id="39"/>
    <w:bookmarkStart w:id="42" w:name="review-and-hotspot-analysis"/>
    <w:p>
      <w:pPr>
        <w:pStyle w:val="Heading2"/>
      </w:pPr>
      <w:r>
        <w:t xml:space="preserve">5. Review and Hotspot Analysis</w:t>
      </w:r>
    </w:p>
    <w:bookmarkStart w:id="40" w:name="emission-hotspots"/>
    <w:p>
      <w:pPr>
        <w:pStyle w:val="Heading3"/>
      </w:pPr>
      <w:r>
        <w:t xml:space="preserve">5.1. Emission Hotspots</w:t>
      </w:r>
    </w:p>
    <w:p>
      <w:pPr>
        <w:pStyle w:val="FirstParagraph"/>
      </w:pPr>
      <w:r>
        <w:t xml:space="preserve">The analysis reveals the following major emission hotspots for jsrexusmso:</w:t>
      </w:r>
    </w:p>
    <w:p>
      <w:pPr>
        <w:numPr>
          <w:ilvl w:val="0"/>
          <w:numId w:val="1011"/>
        </w:numPr>
        <w:pStyle w:val="Compact"/>
      </w:pPr>
      <w:r>
        <w:rPr>
          <w:bCs/>
          <w:b/>
        </w:rPr>
        <w:t xml:space="preserve">Use Phase (45.25 kg CO2e or ~84.2% of total PCF):</w:t>
      </w:r>
      <w:r>
        <w:t xml:space="preserve"> </w:t>
      </w:r>
      <w:r>
        <w:t xml:space="preserve">This is by far the largest contributor to the product\'s carbon footprint. The energy consumption during the 5-year lifespan of jsrexusmso, even with Europe\'s relatively cleaner grid mix, dominates the emissions.</w:t>
      </w:r>
    </w:p>
    <w:p>
      <w:pPr>
        <w:numPr>
          <w:ilvl w:val="0"/>
          <w:numId w:val="1011"/>
        </w:numPr>
        <w:pStyle w:val="Compact"/>
      </w:pPr>
      <w:r>
        <w:rPr>
          <w:bCs/>
          <w:b/>
        </w:rPr>
        <w:t xml:space="preserve">Raw Materials (4.5 kg CO2e or ~8.4% of total PCF):</w:t>
      </w:r>
      <w:r>
        <w:t xml:space="preserve"> </w:t>
      </w:r>
      <w:r>
        <w:t xml:space="preserve">The embodied emissions in the materials, particularly the Aluminum Casing and Circuit Board, represent the second most significant hotspot.</w:t>
      </w:r>
    </w:p>
    <w:p>
      <w:pPr>
        <w:numPr>
          <w:ilvl w:val="0"/>
          <w:numId w:val="1011"/>
        </w:numPr>
        <w:pStyle w:val="Compact"/>
      </w:pPr>
      <w:r>
        <w:rPr>
          <w:bCs/>
          <w:b/>
        </w:rPr>
        <w:t xml:space="preserve">Manufacturing Energy (3.723 kg CO2e or ~6.9% of total PCF):</w:t>
      </w:r>
      <w:r>
        <w:t xml:space="preserve"> </w:t>
      </w:r>
      <w:r>
        <w:t xml:space="preserve">Despite 40% renewable energy usage, the remaining grid electricity from China\'s energy mix contributes noticeably.</w:t>
      </w:r>
    </w:p>
    <w:bookmarkEnd w:id="40"/>
    <w:bookmarkStart w:id="41" w:name="recommendations-for-emission-reduction"/>
    <w:p>
      <w:pPr>
        <w:pStyle w:val="Heading3"/>
      </w:pPr>
      <w:r>
        <w:t xml:space="preserve">5.2. Recommendations for Emission Reduction</w:t>
      </w:r>
    </w:p>
    <w:p>
      <w:pPr>
        <w:pStyle w:val="FirstParagraph"/>
      </w:pPr>
      <w:r>
        <w:t xml:space="preserve">Based on the hotspot analysis, gpjqklekts should focus on the following areas for significant emission reductions:</w:t>
      </w:r>
    </w:p>
    <w:p>
      <w:pPr>
        <w:numPr>
          <w:ilvl w:val="0"/>
          <w:numId w:val="1012"/>
        </w:numPr>
        <w:pStyle w:val="Compact"/>
      </w:pPr>
      <w:r>
        <w:rPr>
          <w:bCs/>
          <w:b/>
        </w:rPr>
        <w:t xml:space="preserve">Optimize Use Phase Efficiency:</w:t>
      </w:r>
    </w:p>
    <w:p>
      <w:pPr>
        <w:numPr>
          <w:ilvl w:val="1"/>
          <w:numId w:val="1013"/>
        </w:numPr>
        <w:pStyle w:val="Compact"/>
      </w:pPr>
      <w:r>
        <w:t xml:space="preserve">Invest in research and development to reduce the energy consumption of jsrexusmso during its operational life.</w:t>
      </w:r>
    </w:p>
    <w:p>
      <w:pPr>
        <w:numPr>
          <w:ilvl w:val="1"/>
          <w:numId w:val="1013"/>
        </w:numPr>
        <w:pStyle w:val="Compact"/>
      </w:pPr>
      <w:r>
        <w:t xml:space="preserve">Explore options for shifting user energy sources to renewables, e.g., by providing guidance or compatibility with renewable energy systems.</w:t>
      </w:r>
    </w:p>
    <w:p>
      <w:pPr>
        <w:numPr>
          <w:ilvl w:val="0"/>
          <w:numId w:val="1012"/>
        </w:numPr>
        <w:pStyle w:val="Compact"/>
      </w:pPr>
      <w:r>
        <w:rPr>
          <w:bCs/>
          <w:b/>
        </w:rPr>
        <w:t xml:space="preserve">Material Decarbonization:</w:t>
      </w:r>
    </w:p>
    <w:p>
      <w:pPr>
        <w:numPr>
          <w:ilvl w:val="1"/>
          <w:numId w:val="1014"/>
        </w:numPr>
        <w:pStyle w:val="Compact"/>
      </w:pPr>
      <w:r>
        <w:t xml:space="preserve">Engage with suppliers to procure lower-carbon materials, such as recycled aluminum or plastics with certified low embodied carbon.</w:t>
      </w:r>
    </w:p>
    <w:p>
      <w:pPr>
        <w:numPr>
          <w:ilvl w:val="1"/>
          <w:numId w:val="1014"/>
        </w:numPr>
        <w:pStyle w:val="Compact"/>
      </w:pPr>
      <w:r>
        <w:t xml:space="preserve">Redesign the product to use less material or alternative materials with inherently lower emission factors.</w:t>
      </w:r>
    </w:p>
    <w:p>
      <w:pPr>
        <w:numPr>
          <w:ilvl w:val="0"/>
          <w:numId w:val="1012"/>
        </w:numPr>
        <w:pStyle w:val="Compact"/>
      </w:pPr>
      <w:r>
        <w:rPr>
          <w:bCs/>
          <w:b/>
        </w:rPr>
        <w:t xml:space="preserve">Enhance Manufacturing Sustainability:</w:t>
      </w:r>
    </w:p>
    <w:p>
      <w:pPr>
        <w:numPr>
          <w:ilvl w:val="1"/>
          <w:numId w:val="1015"/>
        </w:numPr>
        <w:pStyle w:val="Compact"/>
      </w:pPr>
      <w:r>
        <w:t xml:space="preserve">Increase the percentage of renewable energy used in the China manufacturing facility beyond the current 40%. This could involve on-site generation or purchasing certified renewable energy credits.</w:t>
      </w:r>
    </w:p>
    <w:p>
      <w:pPr>
        <w:numPr>
          <w:ilvl w:val="1"/>
          <w:numId w:val="1015"/>
        </w:numPr>
        <w:pStyle w:val="Compact"/>
      </w:pPr>
      <w:r>
        <w:t xml:space="preserve">Improve energy efficiency within the production processes to reduce overall electricity demand.</w:t>
      </w:r>
    </w:p>
    <w:p>
      <w:pPr>
        <w:numPr>
          <w:ilvl w:val="0"/>
          <w:numId w:val="1012"/>
        </w:numPr>
        <w:pStyle w:val="Compact"/>
      </w:pPr>
      <w:r>
        <w:rPr>
          <w:bCs/>
          <w:b/>
        </w:rPr>
        <w:t xml:space="preserve">Strengthen Circular Economy Initiatives:</w:t>
      </w:r>
    </w:p>
    <w:p>
      <w:pPr>
        <w:numPr>
          <w:ilvl w:val="1"/>
          <w:numId w:val="1016"/>
        </w:numPr>
        <w:pStyle w:val="Compact"/>
      </w:pPr>
      <w:r>
        <w:t xml:space="preserve">Promote and expand the existing circular/take-back programs to maximize the actual collection and recycling rates.</w:t>
      </w:r>
    </w:p>
    <w:p>
      <w:pPr>
        <w:numPr>
          <w:ilvl w:val="1"/>
          <w:numId w:val="1016"/>
        </w:numPr>
        <w:pStyle w:val="Compact"/>
      </w:pPr>
      <w:r>
        <w:t xml:space="preserve">Explore opportunities for product refurbishment and remanufacturing to extend lifespan and retain material value.</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jsrexusmso - gpjqklekts</dc:title>
  <dc:creator/>
  <dc:description>Detailed Product Carbon Footprint (PCF) analysis report for jsrexusmso by gpjqklekts, adhering to GHG Protocol standards and 2026 LSR Update, performed by Senior Sustainability Consultant hkksefilnw.</dc:description>
  <dc:language>en</dc:language>
  <cp:keywords/>
  <dcterms:created xsi:type="dcterms:W3CDTF">2026-07-15T09:09:00Z</dcterms:created>
  <dcterms:modified xsi:type="dcterms:W3CDTF">2026-07-15T09:09:00Z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