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jshtoindiw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jshtoindiw</w:t>
      </w:r>
    </w:p>
    <w:p>
      <w:pPr>
        <w:pStyle w:val="BodyText"/>
      </w:pPr>
      <w:r>
        <w:rPr>
          <w:bCs/>
          <w:b/>
        </w:rPr>
        <w:t xml:space="preserve">Company Name:</w:t>
      </w:r>
      <w:r>
        <w:t xml:space="preserve"> </w:t>
      </w:r>
      <w:r>
        <w:t xml:space="preserve">pvtlethmgo</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tzpdxfuohi</w:t>
      </w:r>
    </w:p>
    <w:p>
      <w:pPr>
        <w:pStyle w:val="BodyText"/>
      </w:pPr>
      <w:r>
        <w:t xml:space="preserve">Disclaimer: This report is generated based on available data and industry standards, providing an estimate of the product\'s carbon footprint.</w:t>
      </w:r>
    </w:p>
    <w:bookmarkEnd w:id="20"/>
    <w:bookmarkStart w:id="21" w:name="X2139d4df252b03ec840f6daf90d3f8641ebb4fd"/>
    <w:p>
      <w:pPr>
        <w:pStyle w:val="Heading1"/>
      </w:pPr>
      <w:r>
        <w:t xml:space="preserve">Product Carbon Footprint Report for jshtoindiw</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"jshtoindiw" manufactured by pvtlethmgo. The analysis was conducted by tzpdxfuohi, a Senior Sustainability Consultant specializing in GHG Protocol. The assessment rigorously follows the Greenhouse Gas (GHG) Protocol standards, incorporating the latest 2026 Land Sector and Removals (LSR) Standard updates and targeting a minimum of 95% Scope 3 coverage. The study employs a modified Cradle-to-Gate system boundary, extending to include downstream logistics, product use, and end-of-life phases as per the provided parameters, to offer a comprehensive view of the product\'s environmental impact across its lifecycle. Key emission hotspots have been identified across material acquisition, manufacturing, transportation, use, and end-of-life stages.</w:t>
      </w:r>
    </w:p>
    <w:p>
      <w:r>
        <w:pict>
          <v:rect style="width:0;height:1.5pt" o:hralign="center" o:hrstd="t" o:hr="t"/>
        </w:pict>
      </w:r>
    </w:p>
    <w:bookmarkEnd w:id="22"/>
    <w:bookmarkStart w:id="46" w:name="methodology"/>
    <w:p>
      <w:pPr>
        <w:pStyle w:val="Heading2"/>
      </w:pPr>
      <w:r>
        <w:t xml:space="preserve">Methodology</w:t>
      </w:r>
    </w:p>
    <w:p>
      <w:pPr>
        <w:pStyle w:val="FirstParagraph"/>
      </w:pPr>
      <w:r>
        <w:t xml:space="preserve">The Product Carbon Footprint (PCF) analysis for jshtoindiw adheres strictly to the GHG Protocol Corporate Accounting and Reporting Standard. The methodology is structured around five core steps:</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for this analysis is defined as</w:t>
      </w:r>
      <w:r>
        <w:t xml:space="preserve"> </w:t>
      </w:r>
      <w:r>
        <w:rPr>
          <w:bCs/>
          <w:b/>
        </w:rPr>
        <w:t xml:space="preserve">1.0 unit</w:t>
      </w:r>
      <w:r>
        <w:t xml:space="preserve"> </w:t>
      </w:r>
      <w:r>
        <w:t xml:space="preserve">of the product jshtoindiw. The nominal system boundary is "factory_gate" (Cradle-to-Gate), encompassing raw material extraction, processing, and manufacturing until the product leaves the factory. However, to provide a more holistic assessment as per the project requirements, the analysis has been extended to include downstream transportation, the product\'s use phase, and end-of-life scenarios. The geographic scope for final production is China, with a supply chain focus on Europe. Allocation for co-products or waste is handled by mass allocation where applicable, and recycled content benefits are factored into the end-of-life scenarios.</w:t>
      </w:r>
    </w:p>
    <w:p>
      <w:pPr>
        <w:numPr>
          <w:ilvl w:val="0"/>
          <w:numId w:val="1000"/>
        </w:numPr>
      </w:pPr>
      <w:r>
        <w:t xml:space="preserve">The analysis explicitly covers emissions categorized into:</w:t>
      </w:r>
    </w:p>
    <w:p>
      <w:pPr>
        <w:numPr>
          <w:ilvl w:val="1"/>
          <w:numId w:val="1002"/>
        </w:numPr>
        <w:pStyle w:val="Compact"/>
      </w:pPr>
      <w:r>
        <w:rPr>
          <w:bCs/>
          <w:b/>
        </w:rPr>
        <w:t xml:space="preserve">Scope 1:</w:t>
      </w:r>
      <w:r>
        <w:t xml:space="preserve"> </w:t>
      </w:r>
      <w:r>
        <w:t xml:space="preserve">Direct GHG emissions from sources owned or controlled by pvtlethmgo.</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pvtlethmgo.</w:t>
      </w:r>
    </w:p>
    <w:p>
      <w:pPr>
        <w:numPr>
          <w:ilvl w:val="1"/>
          <w:numId w:val="1002"/>
        </w:numPr>
        <w:pStyle w:val="Compact"/>
      </w:pPr>
      <w:r>
        <w:rPr>
          <w:bCs/>
          <w:b/>
        </w:rPr>
        <w:t xml:space="preserve">Scope 3:</w:t>
      </w:r>
      <w:r>
        <w:t xml:space="preserve"> </w:t>
      </w:r>
      <w:r>
        <w:t xml:space="preserve">All other indirect emissions occurring in the value chain, both upstream and downstream, which are a consequence of pvtlethmgo\'s activities but occur from sources not owned or controlled by the company. This includes purchased goods and services, upstream and downstream transportation and distribution, use of sold products, and end-of-life treatment of sold products.</w:t>
      </w:r>
    </w:p>
    <w:p>
      <w:pPr>
        <w:numPr>
          <w:ilvl w:val="0"/>
          <w:numId w:val="1001"/>
        </w:numPr>
        <w:pStyle w:val="Heading3"/>
      </w:pPr>
      <w:bookmarkStart w:id="24" w:name="X9b3f95e3515408304ff4a9cec9842f2424d7a20"/>
      <w:r>
        <w:t xml:space="preserve">Map Lifecycle (LCI Inventory Stages) &amp; 3. Collect Data (Primary/Secondary Data Points)</w:t>
      </w:r>
      <w:bookmarkEnd w:id="24"/>
    </w:p>
    <w:p>
      <w:pPr>
        <w:numPr>
          <w:ilvl w:val="0"/>
          <w:numId w:val="1000"/>
        </w:numPr>
      </w:pPr>
      <w:r>
        <w:t xml:space="preserve">This combined step involves identifying all relevant processes and collecting corresponding activity data and emission factors across the product\'s lifecycle stages considered within the defined system boundary.</w:t>
      </w:r>
    </w:p>
    <w:p>
      <w:pPr>
        <w:numPr>
          <w:ilvl w:val="0"/>
          <w:numId w:val="1000"/>
        </w:numPr>
        <w:pStyle w:val="Heading4"/>
      </w:pPr>
      <w:bookmarkStart w:id="25" w:name="X037db4be58a208e1121ec24de606bf1cc57fd7f"/>
      <w:r>
        <w:t xml:space="preserve">Material Inputs (Upstream - Scope 3, Category 1: Purchased Goods &amp; Services)</w:t>
      </w:r>
      <w:bookmarkEnd w:id="25"/>
    </w:p>
    <w:p>
      <w:pPr>
        <w:numPr>
          <w:ilvl w:val="0"/>
          <w:numId w:val="1000"/>
        </w:numPr>
      </w:pPr>
      <w:r>
        <w:t xml:space="preserve">The following Detailed Bill of Materials (BOM) for jshtoindiw (represented by `driepfxd`) was used for high-accuracy material impact calculation. The \'Total Carbon\' values provided in the BOM are directly incorporated into the material emissions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PKG1</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numPr>
          <w:ilvl w:val="0"/>
          <w:numId w:val="1000"/>
        </w:numPr>
      </w:pPr>
      <w:r>
        <w:t xml:space="preserve">The total mass of materials for one unit of jshtoindiw is 0.5 + 0.2 + 0.1 = 0.8 kg, plus 1 unit of circuit board. For calculation purposes, assuming the "Total Carbon" already accounts for the mass of the circuit board unit, we will sum the provided "Total Carbon" figures directly.</w:t>
      </w:r>
    </w:p>
    <w:p>
      <w:pPr>
        <w:numPr>
          <w:ilvl w:val="0"/>
          <w:numId w:val="1000"/>
        </w:numPr>
        <w:pStyle w:val="Heading4"/>
      </w:pPr>
      <w:bookmarkStart w:id="26" w:name="Xf31ac62342420faac3e9230b0b6233948f5f66f"/>
      <w:r>
        <w:t xml:space="preserve">Energy Inputs (Production Phase - Scope 2 &amp; Scope 3, Category 3: Fuel- and energy-related activities)</w:t>
      </w:r>
      <w:bookmarkEnd w:id="26"/>
    </w:p>
    <w:p>
      <w:pPr>
        <w:numPr>
          <w:ilvl w:val="0"/>
          <w:numId w:val="1000"/>
        </w:numPr>
      </w:pPr>
      <w:r>
        <w:t xml:space="preserve">Energy consumption during the production phase is a significant contributor to the product\'s footprint.</w:t>
      </w:r>
    </w:p>
    <w:p>
      <w:pPr>
        <w:numPr>
          <w:ilvl w:val="1"/>
          <w:numId w:val="1003"/>
        </w:numPr>
        <w:pStyle w:val="Compact"/>
      </w:pPr>
      <w:r>
        <w:rPr>
          <w:bCs/>
          <w:b/>
        </w:rPr>
        <w:t xml:space="preserve">Energy Intensity (kWh/unit):</w:t>
      </w:r>
      <w:r>
        <w:t xml:space="preserve"> </w:t>
      </w:r>
      <w:r>
        <w:t xml:space="preserve">yxsgunwtts (e.g., 5 kWh/unit)</w:t>
      </w:r>
    </w:p>
    <w:p>
      <w:pPr>
        <w:numPr>
          <w:ilvl w:val="1"/>
          <w:numId w:val="1003"/>
        </w:numPr>
        <w:pStyle w:val="Compact"/>
      </w:pPr>
      <w:r>
        <w:rPr>
          <w:bCs/>
          <w:b/>
        </w:rPr>
        <w:t xml:space="preserve">Renewable Energy Usage:</w:t>
      </w:r>
      <w:r>
        <w:t xml:space="preserve"> </w:t>
      </w:r>
      <w:r>
        <w:t xml:space="preserve">uzxitrmoxt (e.g., 60%)</w:t>
      </w:r>
    </w:p>
    <w:p>
      <w:pPr>
        <w:numPr>
          <w:ilvl w:val="0"/>
          <w:numId w:val="1000"/>
        </w:numPr>
      </w:pPr>
      <w:r>
        <w:t xml:space="preserve">The remaining percentage of energy is assumed to come from the grid mix of the final production country (China). The grid emission factor for China is estimated at 0.6 kg CO2e/kWh.</w:t>
      </w:r>
    </w:p>
    <w:p>
      <w:pPr>
        <w:numPr>
          <w:ilvl w:val="0"/>
          <w:numId w:val="1000"/>
        </w:numPr>
        <w:pStyle w:val="Heading4"/>
      </w:pPr>
      <w:bookmarkStart w:id="27" w:name="Xaa08d99bc9f4859ff70f37707ae47eba10fb805"/>
      <w:r>
        <w:t xml:space="preserve">Transport Logistics (Scope 3, Category 4: Upstream Transportation &amp; Distribution, &amp; Category 9: Downstream Transportation &amp; Distribution)</w:t>
      </w:r>
      <w:bookmarkEnd w:id="27"/>
    </w:p>
    <w:p>
      <w:pPr>
        <w:numPr>
          <w:ilvl w:val="0"/>
          <w:numId w:val="1000"/>
        </w:numPr>
      </w:pPr>
      <w:r>
        <w:t xml:space="preserve">Transportation impacts are considered for both upstream material procurement and downstream product delivery.</w:t>
      </w:r>
    </w:p>
    <w:p>
      <w:pPr>
        <w:numPr>
          <w:ilvl w:val="1"/>
          <w:numId w:val="1004"/>
        </w:numPr>
        <w:pStyle w:val="Compact"/>
      </w:pPr>
      <w:r>
        <w:rPr>
          <w:bCs/>
          <w:b/>
        </w:rPr>
        <w:t xml:space="preserve">Upstream Transport Mode:</w:t>
      </w:r>
      <w:r>
        <w:t xml:space="preserve"> </w:t>
      </w:r>
      <w:r>
        <w:t xml:space="preserve">Select Mode (e.g., Road Freight (HGV 40t+))</w:t>
      </w:r>
    </w:p>
    <w:p>
      <w:pPr>
        <w:numPr>
          <w:ilvl w:val="1"/>
          <w:numId w:val="1004"/>
        </w:numPr>
        <w:pStyle w:val="Compact"/>
      </w:pPr>
      <w:r>
        <w:rPr>
          <w:bCs/>
          <w:b/>
        </w:rPr>
        <w:t xml:space="preserve">Upstream Transport Distance:</w:t>
      </w:r>
      <w:r>
        <w:t xml:space="preserve"> </w:t>
      </w:r>
      <w:r>
        <w:t xml:space="preserve">fmmokngois (e.g., 1500 km)</w:t>
      </w:r>
    </w:p>
    <w:p>
      <w:pPr>
        <w:numPr>
          <w:ilvl w:val="1"/>
          <w:numId w:val="1004"/>
        </w:numPr>
        <w:pStyle w:val="Compact"/>
      </w:pPr>
      <w:r>
        <w:rPr>
          <w:bCs/>
          <w:b/>
        </w:rPr>
        <w:t xml:space="preserve">Last-Mile Delivery Channel:</w:t>
      </w:r>
      <w:r>
        <w:t xml:space="preserve"> </w:t>
      </w:r>
      <w:r>
        <w:t xml:space="preserve">Delivery Type (e.g., Parcel Delivery Van)</w:t>
      </w:r>
    </w:p>
    <w:p>
      <w:pPr>
        <w:numPr>
          <w:ilvl w:val="0"/>
          <w:numId w:val="1000"/>
        </w:numPr>
      </w:pPr>
      <w:r>
        <w:t xml:space="preserve">Emission factors for transportation modes are applied per tonne-kilometer (tkm) for freight and per kilometer for last-mile delivery. A general road freight emission factor of 0.1 kg CO2e/tkm is used. For parcel delivery, an average emission factor of 0.25 kg CO2e/km is applied.</w:t>
      </w:r>
    </w:p>
    <w:p>
      <w:pPr>
        <w:numPr>
          <w:ilvl w:val="0"/>
          <w:numId w:val="1000"/>
        </w:numPr>
        <w:pStyle w:val="Heading4"/>
      </w:pPr>
      <w:bookmarkStart w:id="28" w:name="Xb6379c31f00345ccff01e90b5cbf0314a51933a"/>
      <w:r>
        <w:t xml:space="preserve">Use Phase (Downstream - Scope 3, Category 11: Use of Sold Products)</w:t>
      </w:r>
      <w:bookmarkEnd w:id="28"/>
    </w:p>
    <w:p>
      <w:pPr>
        <w:numPr>
          <w:ilvl w:val="0"/>
          <w:numId w:val="1000"/>
        </w:numPr>
      </w:pPr>
      <w:r>
        <w:t xml:space="preserve">The emissions generated during the product\'s active use are calculated based on its lifespan and energy consumption.</w:t>
      </w:r>
    </w:p>
    <w:p>
      <w:pPr>
        <w:numPr>
          <w:ilvl w:val="1"/>
          <w:numId w:val="1005"/>
        </w:numPr>
        <w:pStyle w:val="Compact"/>
      </w:pPr>
      <w:r>
        <w:rPr>
          <w:bCs/>
          <w:b/>
        </w:rPr>
        <w:t xml:space="preserve">Product Lifespan:</w:t>
      </w:r>
      <w:r>
        <w:t xml:space="preserve"> </w:t>
      </w:r>
      <w:r>
        <w:t xml:space="preserve">pzotvkolnp (e.g., 5 years)</w:t>
      </w:r>
    </w:p>
    <w:p>
      <w:pPr>
        <w:numPr>
          <w:ilvl w:val="1"/>
          <w:numId w:val="1005"/>
        </w:numPr>
        <w:pStyle w:val="Compact"/>
      </w:pPr>
      <w:r>
        <w:rPr>
          <w:bCs/>
          <w:b/>
        </w:rPr>
        <w:t xml:space="preserve">Energy Consumption in Use:</w:t>
      </w:r>
      <w:r>
        <w:t xml:space="preserve"> </w:t>
      </w:r>
      <w:r>
        <w:t xml:space="preserve">zehmmodnzf (e.g., 10 kWh/year)</w:t>
      </w:r>
    </w:p>
    <w:p>
      <w:pPr>
        <w:numPr>
          <w:ilvl w:val="0"/>
          <w:numId w:val="1000"/>
        </w:numPr>
      </w:pPr>
      <w:r>
        <w:t xml:space="preserve">The electricity consumed during the use phase is assumed to draw from an average European grid mix, given the "Europe Focused" supply chain, with an emission factor of 0.25 kg CO2e/kWh.</w:t>
      </w:r>
    </w:p>
    <w:p>
      <w:pPr>
        <w:numPr>
          <w:ilvl w:val="0"/>
          <w:numId w:val="1000"/>
        </w:numPr>
        <w:pStyle w:val="Heading4"/>
      </w:pPr>
      <w:bookmarkStart w:id="29" w:name="X1cfd742b3058aacf0b20cbe81020866aff2669f"/>
      <w:r>
        <w:t xml:space="preserve">End-of-Life (Downstream - Scope 3, Category 12: End-of-Life Treatment of Sold Products)</w:t>
      </w:r>
      <w:bookmarkEnd w:id="29"/>
    </w:p>
    <w:p>
      <w:pPr>
        <w:numPr>
          <w:ilvl w:val="0"/>
          <w:numId w:val="1000"/>
        </w:numPr>
      </w:pPr>
      <w:r>
        <w:t xml:space="preserve">End-of-life scenarios account for potential emissions from disposal and benefits from recycling or circular economy initiatives.</w:t>
      </w:r>
    </w:p>
    <w:p>
      <w:pPr>
        <w:numPr>
          <w:ilvl w:val="1"/>
          <w:numId w:val="1006"/>
        </w:numPr>
        <w:pStyle w:val="Compact"/>
      </w:pPr>
      <w:r>
        <w:rPr>
          <w:bCs/>
          <w:b/>
        </w:rPr>
        <w:t xml:space="preserve">Recyclability Percentage:</w:t>
      </w:r>
      <w:r>
        <w:t xml:space="preserve"> </w:t>
      </w:r>
      <w:r>
        <w:t xml:space="preserve">hkjtfkqxwu (e.g., 75%)</w:t>
      </w:r>
    </w:p>
    <w:p>
      <w:pPr>
        <w:numPr>
          <w:ilvl w:val="1"/>
          <w:numId w:val="1006"/>
        </w:numPr>
        <w:pStyle w:val="Compact"/>
      </w:pPr>
      <w:r>
        <w:rPr>
          <w:bCs/>
          <w:b/>
        </w:rPr>
        <w:t xml:space="preserve">Circular/Take-back Programs:</w:t>
      </w:r>
      <w:r>
        <w:t xml:space="preserve"> </w:t>
      </w:r>
      <w:r>
        <w:t xml:space="preserve">zqkidxidtx (e.g., Yes (Material Recovery))</w:t>
      </w:r>
    </w:p>
    <w:p>
      <w:pPr>
        <w:numPr>
          <w:ilvl w:val="0"/>
          <w:numId w:val="1000"/>
        </w:numPr>
      </w:pPr>
      <w:r>
        <w:t xml:space="preserve">Recycling credits are calculated based on the recyclability percentage and an assumed avoided burden compared to virgin material production. Emissions from non-recycled waste are also considered.</w:t>
      </w:r>
    </w:p>
    <w:p>
      <w:pPr>
        <w:numPr>
          <w:ilvl w:val="0"/>
          <w:numId w:val="1000"/>
        </w:numPr>
        <w:pStyle w:val="Heading4"/>
      </w:pPr>
      <w:bookmarkStart w:id="30" w:name="lsr-update-application"/>
      <w:r>
        <w:t xml:space="preserve">2026 LSR Update Application</w:t>
      </w:r>
      <w:bookmarkEnd w:id="30"/>
    </w:p>
    <w:p>
      <w:pPr>
        <w:numPr>
          <w:ilvl w:val="0"/>
          <w:numId w:val="1000"/>
        </w:numPr>
      </w:pPr>
      <w:r>
        <w:t xml:space="preserve">The GHG Protocol Land Sector and Removals (LSR) Standard, effective January 1, 2027, is considered in this analysis. While the product jshtoindiw itself is not directly land-intensive, the LSR Standard is applied in principle by acknowledging its requirements for accounting for CO2 removals and land-use change. Should any upstream materials involve significant biogenic carbon or land-use related emissions, these would be accounted for in alignment with the LSR Standard\'s principles for identifying and reporting such impacts within Scope 3.</w:t>
      </w:r>
    </w:p>
    <w:p>
      <w:pPr>
        <w:numPr>
          <w:ilvl w:val="0"/>
          <w:numId w:val="1001"/>
        </w:numPr>
        <w:pStyle w:val="Heading3"/>
      </w:pPr>
      <w:bookmarkStart w:id="31" w:name="Xb404f6bea4a0013006ec7a9103609d9ea6643c1"/>
      <w:r>
        <w:t xml:space="preserve">Calculate Emissions (Activity * Emission Factor = CO2e)</w:t>
      </w:r>
      <w:bookmarkEnd w:id="31"/>
    </w:p>
    <w:p>
      <w:pPr>
        <w:numPr>
          <w:ilvl w:val="0"/>
          <w:numId w:val="1000"/>
        </w:numPr>
      </w:pPr>
      <w:r>
        <w:t xml:space="preserve">Emissions are calculated by multiplying activity data by relevant emission factors. The results are categorized according to GHG Protocol Scopes.</w:t>
      </w:r>
    </w:p>
    <w:p>
      <w:pPr>
        <w:numPr>
          <w:ilvl w:val="0"/>
          <w:numId w:val="1000"/>
        </w:numPr>
        <w:pStyle w:val="Heading4"/>
      </w:pPr>
      <w:bookmarkStart w:id="32" w:name="assumptions-emission-factors-used"/>
      <w:r>
        <w:t xml:space="preserve">Assumptions &amp; Emission Factors Used:</w:t>
      </w:r>
      <w:bookmarkEnd w:id="32"/>
    </w:p>
    <w:p>
      <w:pPr>
        <w:numPr>
          <w:ilvl w:val="1"/>
          <w:numId w:val="1007"/>
        </w:numPr>
        <w:pStyle w:val="Compact"/>
      </w:pPr>
      <w:r>
        <w:rPr>
          <w:bCs/>
          <w:b/>
        </w:rPr>
        <w:t xml:space="preserve">China Electricity Grid Emission Factor:</w:t>
      </w:r>
      <w:r>
        <w:t xml:space="preserve"> </w:t>
      </w:r>
      <w:r>
        <w:t xml:space="preserve">0.6 kg CO2e/kWh (general estimate based on 2025 predictions)</w:t>
      </w:r>
    </w:p>
    <w:p>
      <w:pPr>
        <w:numPr>
          <w:ilvl w:val="1"/>
          <w:numId w:val="1007"/>
        </w:numPr>
        <w:pStyle w:val="Compact"/>
      </w:pPr>
      <w:r>
        <w:rPr>
          <w:bCs/>
          <w:b/>
        </w:rPr>
        <w:t xml:space="preserve">European Electricity Grid Emission Factor:</w:t>
      </w:r>
      <w:r>
        <w:t xml:space="preserve"> </w:t>
      </w:r>
      <w:r>
        <w:t xml:space="preserve">0.25 kg CO2e/kWh (average for European grid mix)</w:t>
      </w:r>
    </w:p>
    <w:p>
      <w:pPr>
        <w:numPr>
          <w:ilvl w:val="1"/>
          <w:numId w:val="1007"/>
        </w:numPr>
        <w:pStyle w:val="Compact"/>
      </w:pPr>
      <w:r>
        <w:rPr>
          <w:bCs/>
          <w:b/>
        </w:rPr>
        <w:t xml:space="preserve">Road Freight (HGV):</w:t>
      </w:r>
      <w:r>
        <w:t xml:space="preserve"> </w:t>
      </w:r>
      <w:r>
        <w:t xml:space="preserve">0.1 kg CO2e/tkm (for upstream transport)</w:t>
      </w:r>
    </w:p>
    <w:p>
      <w:pPr>
        <w:numPr>
          <w:ilvl w:val="1"/>
          <w:numId w:val="1007"/>
        </w:numPr>
        <w:pStyle w:val="Compact"/>
      </w:pPr>
      <w:r>
        <w:rPr>
          <w:bCs/>
          <w:b/>
        </w:rPr>
        <w:t xml:space="preserve">Parcel Delivery Van:</w:t>
      </w:r>
      <w:r>
        <w:t xml:space="preserve"> </w:t>
      </w:r>
      <w:r>
        <w:t xml:space="preserve">0.25 kg CO2e/km (for last-mile delivery)</w:t>
      </w:r>
    </w:p>
    <w:p>
      <w:pPr>
        <w:numPr>
          <w:ilvl w:val="1"/>
          <w:numId w:val="1007"/>
        </w:numPr>
        <w:pStyle w:val="Compact"/>
      </w:pPr>
      <w:r>
        <w:rPr>
          <w:bCs/>
          <w:b/>
        </w:rPr>
        <w:t xml:space="preserve">Recycling Credit:</w:t>
      </w:r>
      <w:r>
        <w:t xml:space="preserve"> </w:t>
      </w:r>
      <w:r>
        <w:t xml:space="preserve">For simplicity in this illustrative report, a 50% avoided burden factor is assumed for recycled materials, meaning 50% of the virgin material\'s emission factor is credited back for the recycled portion.</w:t>
      </w:r>
    </w:p>
    <w:p>
      <w:pPr>
        <w:numPr>
          <w:ilvl w:val="1"/>
          <w:numId w:val="1007"/>
        </w:numPr>
        <w:pStyle w:val="Compact"/>
      </w:pPr>
      <w:r>
        <w:rPr>
          <w:bCs/>
          <w:b/>
        </w:rPr>
        <w:t xml:space="preserve">Waste Disposal:</w:t>
      </w:r>
      <w:r>
        <w:t xml:space="preserve"> </w:t>
      </w:r>
      <w:r>
        <w:t xml:space="preserve">For non-recycled waste, a generic landfill emission factor of 0.2 kg CO2e/kg is assumed.</w:t>
      </w:r>
    </w:p>
    <w:p>
      <w:pPr>
        <w:numPr>
          <w:ilvl w:val="0"/>
          <w:numId w:val="1000"/>
        </w:numPr>
        <w:pStyle w:val="Heading4"/>
      </w:pPr>
      <w:bookmarkStart w:id="33" w:name="detailed-pcf-calculation-for-jshtoindiw"/>
      <w:r>
        <w:t xml:space="preserve">Detailed PCF Calculation for jshtoindiw</w:t>
      </w:r>
      <w:bookmarkEnd w:id="33"/>
    </w:p>
    <w:p>
      <w:pPr>
        <w:numPr>
          <w:ilvl w:val="0"/>
          <w:numId w:val="1000"/>
        </w:numPr>
      </w:pPr>
      <w:r>
        <w:t xml:space="preserve">Using the provided parameters and assumed emission factors:</w:t>
      </w:r>
    </w:p>
    <w:p>
      <w:pPr>
        <w:numPr>
          <w:ilvl w:val="1"/>
          <w:numId w:val="1008"/>
        </w:numPr>
        <w:pStyle w:val="Compact"/>
      </w:pPr>
      <w:r>
        <w:rPr>
          <w:bCs/>
          <w:b/>
        </w:rPr>
        <w:t xml:space="preserve">Company Name:</w:t>
      </w:r>
      <w:r>
        <w:t xml:space="preserve"> </w:t>
      </w:r>
      <w:r>
        <w:t xml:space="preserve">pvtlethmgo</w:t>
      </w:r>
    </w:p>
    <w:p>
      <w:pPr>
        <w:numPr>
          <w:ilvl w:val="1"/>
          <w:numId w:val="1008"/>
        </w:numPr>
        <w:pStyle w:val="Compact"/>
      </w:pPr>
      <w:r>
        <w:rPr>
          <w:bCs/>
          <w:b/>
        </w:rPr>
        <w:t xml:space="preserve">Senior Sustainability Consultant:</w:t>
      </w:r>
      <w:r>
        <w:t xml:space="preserve"> </w:t>
      </w:r>
      <w:r>
        <w:t xml:space="preserve">tzpdxfuohi</w:t>
      </w:r>
    </w:p>
    <w:p>
      <w:pPr>
        <w:numPr>
          <w:ilvl w:val="1"/>
          <w:numId w:val="1008"/>
        </w:numPr>
        <w:pStyle w:val="Compact"/>
      </w:pPr>
      <w:r>
        <w:rPr>
          <w:bCs/>
          <w:b/>
        </w:rPr>
        <w:t xml:space="preserve">Product Name:</w:t>
      </w:r>
      <w:r>
        <w:t xml:space="preserve"> </w:t>
      </w:r>
      <w:r>
        <w:t xml:space="preserve">jshtoindiw</w:t>
      </w:r>
    </w:p>
    <w:p>
      <w:pPr>
        <w:numPr>
          <w:ilvl w:val="1"/>
          <w:numId w:val="1008"/>
        </w:numPr>
        <w:pStyle w:val="Compact"/>
      </w:pPr>
      <w:r>
        <w:rPr>
          <w:bCs/>
          <w:b/>
        </w:rPr>
        <w:t xml:space="preserve">Functional Unit:</w:t>
      </w:r>
      <w:r>
        <w:t xml:space="preserve"> </w:t>
      </w:r>
      <w:r>
        <w:t xml:space="preserve">1.0 unit</w:t>
      </w:r>
    </w:p>
    <w:p>
      <w:pPr>
        <w:numPr>
          <w:ilvl w:val="0"/>
          <w:numId w:val="1000"/>
        </w:numPr>
        <w:pStyle w:val="Heading5"/>
      </w:pPr>
      <w:bookmarkStart w:id="34" w:name="Xd89d26304f1e8ab583f3c02587d748983105841"/>
      <w:r>
        <w:t xml:space="preserve">1. Material Acquisition &amp; Processing (Scope 3, Category 1: Purchased Goods &amp; Services)</w:t>
      </w:r>
      <w:bookmarkEnd w:id="34"/>
    </w:p>
    <w:p>
      <w:pPr>
        <w:numPr>
          <w:ilvl w:val="0"/>
          <w:numId w:val="1000"/>
        </w:numPr>
      </w:pPr>
      <w:r>
        <w:t xml:space="preserve">Based on the \'Total Carbon\' values from the provided BOM (`driepfxd`):</w:t>
      </w:r>
    </w:p>
    <w:p>
      <w:pPr>
        <w:numPr>
          <w:ilvl w:val="1"/>
          <w:numId w:val="1009"/>
        </w:numPr>
        <w:pStyle w:val="Compact"/>
      </w:pPr>
      <w:r>
        <w:t xml:space="preserve">Aluminum Alloy: 5.0 kg CO2e</w:t>
      </w:r>
    </w:p>
    <w:p>
      <w:pPr>
        <w:numPr>
          <w:ilvl w:val="1"/>
          <w:numId w:val="1009"/>
        </w:numPr>
        <w:pStyle w:val="Compact"/>
      </w:pPr>
      <w:r>
        <w:t xml:space="preserve">ABS Plastic: 0.7 kg CO2e</w:t>
      </w:r>
    </w:p>
    <w:p>
      <w:pPr>
        <w:numPr>
          <w:ilvl w:val="1"/>
          <w:numId w:val="1009"/>
        </w:numPr>
        <w:pStyle w:val="Compact"/>
      </w:pPr>
      <w:r>
        <w:t xml:space="preserve">Circuit Board: 2.0 kg CO2e</w:t>
      </w:r>
    </w:p>
    <w:p>
      <w:pPr>
        <w:numPr>
          <w:ilvl w:val="1"/>
          <w:numId w:val="1009"/>
        </w:numPr>
        <w:pStyle w:val="Compact"/>
      </w:pPr>
      <w:r>
        <w:t xml:space="preserve">Cardboard Box: 0.05 kg CO2e</w:t>
      </w:r>
    </w:p>
    <w:p>
      <w:pPr>
        <w:numPr>
          <w:ilvl w:val="0"/>
          <w:numId w:val="1000"/>
        </w:numPr>
      </w:pPr>
      <w:r>
        <w:rPr>
          <w:bCs/>
          <w:b/>
        </w:rPr>
        <w:t xml:space="preserve">Total Material Emissions (Upstream):</w:t>
      </w:r>
      <w:r>
        <w:t xml:space="preserve"> </w:t>
      </w:r>
      <w:r>
        <w:t xml:space="preserve">5.0 + 0.7 + 2.0 + 0.05 =</w:t>
      </w:r>
      <w:r>
        <w:t xml:space="preserve"> </w:t>
      </w:r>
      <w:r>
        <w:rPr>
          <w:bCs/>
          <w:b/>
        </w:rPr>
        <w:t xml:space="preserve">7.75 kg CO2e</w:t>
      </w:r>
    </w:p>
    <w:p>
      <w:pPr>
        <w:numPr>
          <w:ilvl w:val="0"/>
          <w:numId w:val="1000"/>
        </w:numPr>
        <w:pStyle w:val="Heading5"/>
      </w:pPr>
      <w:bookmarkStart w:id="35" w:name="manufacturing-production-scope-2-scope-3"/>
      <w:r>
        <w:t xml:space="preserve">2. Manufacturing &amp; Production (Scope 2 &amp; Scope 3)</w:t>
      </w:r>
      <w:bookmarkEnd w:id="35"/>
    </w:p>
    <w:p>
      <w:pPr>
        <w:numPr>
          <w:ilvl w:val="1"/>
          <w:numId w:val="1010"/>
        </w:numPr>
        <w:pStyle w:val="Compact"/>
      </w:pPr>
      <w:r>
        <w:t xml:space="preserve">Energy Intensity: 5 kWh/unit</w:t>
      </w:r>
    </w:p>
    <w:p>
      <w:pPr>
        <w:numPr>
          <w:ilvl w:val="1"/>
          <w:numId w:val="1010"/>
        </w:numPr>
        <w:pStyle w:val="Compact"/>
      </w:pPr>
      <w:r>
        <w:t xml:space="preserve">Renewable Energy Usage: 60%</w:t>
      </w:r>
    </w:p>
    <w:p>
      <w:pPr>
        <w:numPr>
          <w:ilvl w:val="1"/>
          <w:numId w:val="1010"/>
        </w:numPr>
        <w:pStyle w:val="Compact"/>
      </w:pPr>
      <w:r>
        <w:t xml:space="preserve">Grid Electricity Usage: 100% - 60% = 40%</w:t>
      </w:r>
    </w:p>
    <w:p>
      <w:pPr>
        <w:numPr>
          <w:ilvl w:val="1"/>
          <w:numId w:val="1010"/>
        </w:numPr>
        <w:pStyle w:val="Compact"/>
      </w:pPr>
      <w:r>
        <w:t xml:space="preserve">China Grid Emission Factor: 0.6 kg CO2e/kWh</w:t>
      </w:r>
    </w:p>
    <w:p>
      <w:pPr>
        <w:numPr>
          <w:ilvl w:val="0"/>
          <w:numId w:val="1000"/>
        </w:numPr>
      </w:pPr>
      <w:r>
        <w:t xml:space="preserve">Emissions from grid electricity (Scope 2): (5 kWh/unit * 0.40) * 0.6 kg CO2e/kWh = 1.2 kg CO2e/unit</w:t>
      </w:r>
      <w:r>
        <w:br/>
      </w:r>
      <w:r>
        <w:t xml:space="preserve">Emissions from renewable energy (Scope 2, market-based approach or 0 under location-based if truly zero-emission source, assuming 0 for this calculation as it\'s \'renewable\'): (5 kWh/unit * 0.60) * 0 kg CO2e/kWh = 0 kg CO2e/unit</w:t>
      </w:r>
    </w:p>
    <w:p>
      <w:pPr>
        <w:numPr>
          <w:ilvl w:val="0"/>
          <w:numId w:val="1000"/>
        </w:numPr>
      </w:pPr>
      <w:r>
        <w:rPr>
          <w:bCs/>
          <w:b/>
        </w:rPr>
        <w:t xml:space="preserve">Total Manufacturing Energy Emissions:</w:t>
      </w:r>
      <w:r>
        <w:t xml:space="preserve"> </w:t>
      </w:r>
      <w:r>
        <w:t xml:space="preserve">1.2 kg CO2e</w:t>
      </w:r>
    </w:p>
    <w:p>
      <w:pPr>
        <w:numPr>
          <w:ilvl w:val="0"/>
          <w:numId w:val="1000"/>
        </w:numPr>
        <w:pStyle w:val="Heading5"/>
      </w:pPr>
      <w:bookmarkStart w:id="36" w:name="transportation-scope-3"/>
      <w:r>
        <w:t xml:space="preserve">3. Transportation (Scope 3)</w:t>
      </w:r>
      <w:bookmarkEnd w:id="36"/>
    </w:p>
    <w:p>
      <w:pPr>
        <w:numPr>
          <w:ilvl w:val="0"/>
          <w:numId w:val="1000"/>
        </w:numPr>
      </w:pPr>
      <w:r>
        <w:t xml:space="preserve">Assuming total material mass (excluding circuit board as its "Total Carbon" covers it) for upstream transport calculation: 0.5 kg (Aluminum) + 0.2 kg (Plastic) + 0.1 kg (Cardboard) = 0.8 kg = 0.0008 tonnes.</w:t>
      </w:r>
    </w:p>
    <w:p>
      <w:pPr>
        <w:numPr>
          <w:ilvl w:val="1"/>
          <w:numId w:val="1011"/>
        </w:numPr>
        <w:pStyle w:val="Compact"/>
      </w:pPr>
      <w:r>
        <w:t xml:space="preserve">Upstream Transport Distance: 1500 km</w:t>
      </w:r>
    </w:p>
    <w:p>
      <w:pPr>
        <w:numPr>
          <w:ilvl w:val="1"/>
          <w:numId w:val="1011"/>
        </w:numPr>
        <w:pStyle w:val="Compact"/>
      </w:pPr>
      <w:r>
        <w:t xml:space="preserve">Upstream Transport Mode: Road Freight (HGV 40t+)</w:t>
      </w:r>
    </w:p>
    <w:p>
      <w:pPr>
        <w:numPr>
          <w:ilvl w:val="1"/>
          <w:numId w:val="1011"/>
        </w:numPr>
        <w:pStyle w:val="Compact"/>
      </w:pPr>
      <w:r>
        <w:t xml:space="preserve">Road Freight Emission Factor: 0.1 kg CO2e/tkm</w:t>
      </w:r>
    </w:p>
    <w:p>
      <w:pPr>
        <w:numPr>
          <w:ilvl w:val="0"/>
          <w:numId w:val="1000"/>
        </w:numPr>
      </w:pPr>
      <w:r>
        <w:t xml:space="preserve">Upstream Transport Emissions (Scope 3, Category 4): 0.0008 tonnes * 1500 km * 0.1 kg CO2e/tkm =</w:t>
      </w:r>
      <w:r>
        <w:t xml:space="preserve"> </w:t>
      </w:r>
      <w:r>
        <w:rPr>
          <w:bCs/>
          <w:b/>
        </w:rPr>
        <w:t xml:space="preserve">0.12 kg CO2e</w:t>
      </w:r>
    </w:p>
    <w:p>
      <w:pPr>
        <w:numPr>
          <w:ilvl w:val="1"/>
          <w:numId w:val="1012"/>
        </w:numPr>
        <w:pStyle w:val="Compact"/>
      </w:pPr>
      <w:r>
        <w:t xml:space="preserve">Last-Mile Delivery Channel: Parcel Delivery Van</w:t>
      </w:r>
    </w:p>
    <w:p>
      <w:pPr>
        <w:numPr>
          <w:ilvl w:val="1"/>
          <w:numId w:val="1012"/>
        </w:numPr>
        <w:pStyle w:val="Compact"/>
      </w:pPr>
      <w:r>
        <w:t xml:space="preserve">Assuming an average last-mile delivery distance of 50 km for the product (not provided in parameters, assumed for calculation).</w:t>
      </w:r>
    </w:p>
    <w:p>
      <w:pPr>
        <w:numPr>
          <w:ilvl w:val="1"/>
          <w:numId w:val="1012"/>
        </w:numPr>
        <w:pStyle w:val="Compact"/>
      </w:pPr>
      <w:r>
        <w:t xml:space="preserve">Parcel Delivery Emission Factor: 0.25 kg CO2e/km</w:t>
      </w:r>
    </w:p>
    <w:p>
      <w:pPr>
        <w:numPr>
          <w:ilvl w:val="0"/>
          <w:numId w:val="1000"/>
        </w:numPr>
      </w:pPr>
      <w:r>
        <w:t xml:space="preserve">Downstream Last-Mile Delivery Emissions (Scope 3, Category 9): 1 unit * 50 km * 0.25 kg CO2e/km =</w:t>
      </w:r>
      <w:r>
        <w:t xml:space="preserve"> </w:t>
      </w:r>
      <w:r>
        <w:rPr>
          <w:bCs/>
          <w:b/>
        </w:rPr>
        <w:t xml:space="preserve">12.5 kg CO2e</w:t>
      </w:r>
    </w:p>
    <w:p>
      <w:pPr>
        <w:numPr>
          <w:ilvl w:val="0"/>
          <w:numId w:val="1000"/>
        </w:numPr>
        <w:pStyle w:val="Heading5"/>
      </w:pPr>
      <w:bookmarkStart w:id="37" w:name="Xc8d47610e025d3b1fe367d676386ecee874efa3"/>
      <w:r>
        <w:t xml:space="preserve">4. Use Phase (Scope 3, Category 11: Use of Sold Products)</w:t>
      </w:r>
      <w:bookmarkEnd w:id="37"/>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European Grid Emission Factor (Use Phase): 0.25 kg CO2e/kWh</w:t>
      </w:r>
    </w:p>
    <w:p>
      <w:pPr>
        <w:numPr>
          <w:ilvl w:val="0"/>
          <w:numId w:val="1000"/>
        </w:numPr>
      </w:pPr>
      <w:r>
        <w:t xml:space="preserve">Use Phase Emissions: 5 years * 10 kWh/year * 0.25 kg CO2e/kWh =</w:t>
      </w:r>
      <w:r>
        <w:t xml:space="preserve"> </w:t>
      </w:r>
      <w:r>
        <w:rPr>
          <w:bCs/>
          <w:b/>
        </w:rPr>
        <w:t xml:space="preserve">12.5 kg CO2e</w:t>
      </w:r>
    </w:p>
    <w:p>
      <w:pPr>
        <w:numPr>
          <w:ilvl w:val="0"/>
          <w:numId w:val="1000"/>
        </w:numPr>
        <w:pStyle w:val="Heading5"/>
      </w:pPr>
      <w:bookmarkStart w:id="38" w:name="X3469672ea15ea9edfd64180e135dbd669c95da4"/>
      <w:r>
        <w:t xml:space="preserve">5. End-of-Life (EoL) Phase (Scope 3, Category 12: End-of-Life Treatment of Sold Products)</w:t>
      </w:r>
      <w:bookmarkEnd w:id="38"/>
    </w:p>
    <w:p>
      <w:pPr>
        <w:numPr>
          <w:ilvl w:val="0"/>
          <w:numId w:val="1000"/>
        </w:numPr>
      </w:pPr>
      <w:r>
        <w:t xml:space="preserve">Total material mass (excluding circuit board for EoL as its EoL impact is complex and typically handled separately from simple mass-based recycling credits): 0.8 kg.</w:t>
      </w:r>
    </w:p>
    <w:p>
      <w:pPr>
        <w:numPr>
          <w:ilvl w:val="1"/>
          <w:numId w:val="1014"/>
        </w:numPr>
        <w:pStyle w:val="Compact"/>
      </w:pPr>
      <w:r>
        <w:t xml:space="preserve">Recyclability Percentage: 75%</w:t>
      </w:r>
    </w:p>
    <w:p>
      <w:pPr>
        <w:numPr>
          <w:ilvl w:val="1"/>
          <w:numId w:val="1014"/>
        </w:numPr>
        <w:pStyle w:val="Compact"/>
      </w:pPr>
      <w:r>
        <w:t xml:space="preserve">Material for Recycling: 0.8 kg * 0.75 = 0.6 kg</w:t>
      </w:r>
    </w:p>
    <w:p>
      <w:pPr>
        <w:numPr>
          <w:ilvl w:val="1"/>
          <w:numId w:val="1014"/>
        </w:numPr>
        <w:pStyle w:val="Compact"/>
      </w:pPr>
      <w:r>
        <w:t xml:space="preserve">Material for Disposal: 0.8 kg * 0.25 = 0.2 kg</w:t>
      </w:r>
    </w:p>
    <w:p>
      <w:pPr>
        <w:numPr>
          <w:ilvl w:val="1"/>
          <w:numId w:val="1014"/>
        </w:numPr>
        <w:pStyle w:val="Compact"/>
      </w:pPr>
      <w:r>
        <w:t xml:space="preserve">Circular/Take-back Programs: Yes (Material Recovery)</w:t>
      </w:r>
    </w:p>
    <w:p>
      <w:pPr>
        <w:numPr>
          <w:ilvl w:val="0"/>
          <w:numId w:val="1000"/>
        </w:numPr>
      </w:pPr>
      <w:r>
        <w:t xml:space="preserve">Assuming the original "Total Carbon" for 0.8kg of material (excluding circuit board for simplicity in end-of-life) is approximately 5.0 + 0.7 + 0.05 = 5.75 kg CO2e.</w:t>
      </w:r>
    </w:p>
    <w:p>
      <w:pPr>
        <w:numPr>
          <w:ilvl w:val="0"/>
          <w:numId w:val="1000"/>
        </w:numPr>
      </w:pPr>
      <w:r>
        <w:t xml:space="preserve">Recycling Credit: - (0.6 kg / 0.8 kg) * 5.75 kg CO2e * 0.5 (avoided burden factor) = -2.156 kg CO2e</w:t>
      </w:r>
      <w:r>
        <w:br/>
      </w:r>
      <w:r>
        <w:t xml:space="preserve">Disposal Emissions: 0.2 kg * 0.2 kg CO2e/kg (generic landfill EF) = 0.04 kg CO2e</w:t>
      </w:r>
    </w:p>
    <w:p>
      <w:pPr>
        <w:numPr>
          <w:ilvl w:val="0"/>
          <w:numId w:val="1000"/>
        </w:numPr>
      </w:pPr>
      <w:r>
        <w:t xml:space="preserve">Circular/Take-back programs (`zqkidxidtx`): The presence of circular programs (Material Recovery) further enhances material efficiency and can potentially lead to additional emission reductions or avoided emissions not captured by basic recycling. For this report, the material recovery implied by "Recyclability Percentage" is integrated. Further quantifiable benefits would require specific data on the efficiency and scale of these programs.</w:t>
      </w:r>
    </w:p>
    <w:p>
      <w:pPr>
        <w:numPr>
          <w:ilvl w:val="0"/>
          <w:numId w:val="1000"/>
        </w:numPr>
      </w:pPr>
      <w:r>
        <w:rPr>
          <w:bCs/>
          <w:b/>
        </w:rPr>
        <w:t xml:space="preserve">Net End-of-Life Emissions:</w:t>
      </w:r>
      <w:r>
        <w:t xml:space="preserve"> </w:t>
      </w:r>
      <w:r>
        <w:t xml:space="preserve">0.04 - 2.156 =</w:t>
      </w:r>
      <w:r>
        <w:t xml:space="preserve"> </w:t>
      </w:r>
      <w:r>
        <w:rPr>
          <w:bCs/>
          <w:b/>
        </w:rPr>
        <w:t xml:space="preserve">-2.116 kg CO2e</w:t>
      </w:r>
      <w:r>
        <w:t xml:space="preserve"> </w:t>
      </w:r>
      <w:r>
        <w:t xml:space="preserve">(a net saving)</w:t>
      </w:r>
    </w:p>
    <w:p>
      <w:pPr>
        <w:numPr>
          <w:ilvl w:val="0"/>
          <w:numId w:val="1000"/>
        </w:numPr>
        <w:pStyle w:val="Heading4"/>
      </w:pPr>
      <w:bookmarkStart w:id="39" w:name="X9b8f96e5fd6ec30b02c91cc11d45f1568d9808c"/>
      <w:r>
        <w:t xml:space="preserve">Summary of Emissions by Scope and Lifecycle Stage:</w:t>
      </w:r>
      <w:bookmarkEnd w:id="39"/>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7.75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1.20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-2.12</w:t>
            </w:r>
          </w:p>
        </w:tc>
      </w:tr>
    </w:tbl>
    <w:p>
      <w:pPr>
        <w:numPr>
          <w:ilvl w:val="0"/>
          <w:numId w:val="1000"/>
        </w:numPr>
      </w:pPr>
      <w:r>
        <w:rPr>
          <w:bCs/>
          <w:b/>
        </w:rPr>
        <w:t xml:space="preserve">Total Product Carbon Footprint (PCF) for jshtoindiw:</w:t>
      </w:r>
      <w:r>
        <w:t xml:space="preserve"> </w:t>
      </w:r>
      <w:r>
        <w:t xml:space="preserve">7.75 + 1.20 + 0.12 + 12.50 + 12.50 - 2.12 =</w:t>
      </w:r>
      <w:r>
        <w:t xml:space="preserve"> </w:t>
      </w:r>
      <w:r>
        <w:rPr>
          <w:bCs/>
          <w:b/>
        </w:rPr>
        <w:t xml:space="preserve">31.95 kg CO2e</w:t>
      </w:r>
      <w:r>
        <w:t xml:space="preserve"> </w:t>
      </w:r>
      <w:r>
        <w:t xml:space="preserve">per functional unit.</w:t>
      </w:r>
    </w:p>
    <w:p>
      <w:pPr>
        <w:numPr>
          <w:ilvl w:val="0"/>
          <w:numId w:val="1000"/>
        </w:numPr>
        <w:pStyle w:val="Heading5"/>
      </w:pPr>
      <w:bookmarkStart w:id="40" w:name="scope-summary"/>
      <w:r>
        <w:t xml:space="preserve">Scope Summary:</w:t>
      </w:r>
      <w:bookmarkEnd w:id="40"/>
    </w:p>
    <w:p>
      <w:pPr>
        <w:numPr>
          <w:ilvl w:val="1"/>
          <w:numId w:val="1015"/>
        </w:numPr>
        <w:pStyle w:val="Compact"/>
      </w:pPr>
      <w:r>
        <w:rPr>
          <w:bCs/>
          <w:b/>
        </w:rPr>
        <w:t xml:space="preserve">Scope 1 Emissions:</w:t>
      </w:r>
      <w:r>
        <w:t xml:space="preserve"> </w:t>
      </w:r>
      <w:r>
        <w:t xml:space="preserve">0.0 kg CO2e (No direct operational emissions assumed for product manufacturing, as per "factory_gate" boundary for direct operations)</w:t>
      </w:r>
    </w:p>
    <w:p>
      <w:pPr>
        <w:numPr>
          <w:ilvl w:val="1"/>
          <w:numId w:val="1015"/>
        </w:numPr>
        <w:pStyle w:val="Compact"/>
      </w:pPr>
      <w:r>
        <w:rPr>
          <w:bCs/>
          <w:b/>
        </w:rPr>
        <w:t xml:space="preserve">Scope 2 Emissions:</w:t>
      </w:r>
      <w:r>
        <w:t xml:space="preserve"> </w:t>
      </w:r>
      <w:r>
        <w:t xml:space="preserve">1.20 kg CO2e (Manufacturing electricity)</w:t>
      </w:r>
    </w:p>
    <w:p>
      <w:pPr>
        <w:numPr>
          <w:ilvl w:val="1"/>
          <w:numId w:val="1015"/>
        </w:numPr>
        <w:pStyle w:val="Compact"/>
      </w:pPr>
      <w:r>
        <w:rPr>
          <w:bCs/>
          <w:b/>
        </w:rPr>
        <w:t xml:space="preserve">Scope 3 Emissions:</w:t>
      </w:r>
      <w:r>
        <w:t xml:space="preserve"> </w:t>
      </w:r>
      <w:r>
        <w:t xml:space="preserve">7.75 (Materials) + 0.12 (Upstream Transport) + 12.50 (Downstream Transport) + 12.50 (Use Phase) - 2.12 (End-of-Life) = 30.75 kg CO2e</w:t>
      </w:r>
    </w:p>
    <w:p>
      <w:pPr>
        <w:numPr>
          <w:ilvl w:val="0"/>
          <w:numId w:val="1000"/>
        </w:numPr>
      </w:pPr>
      <w:r>
        <w:rPr>
          <w:bCs/>
          <w:b/>
        </w:rPr>
        <w:t xml:space="preserve">Total Emissions:</w:t>
      </w:r>
      <w:r>
        <w:t xml:space="preserve"> </w:t>
      </w:r>
      <w:r>
        <w:t xml:space="preserve">0.0 (Scope 1) + 1.20 (Scope 2) + 30.75 (Scope 3) =</w:t>
      </w:r>
      <w:r>
        <w:t xml:space="preserve"> </w:t>
      </w:r>
      <w:r>
        <w:rPr>
          <w:bCs/>
          <w:b/>
        </w:rPr>
        <w:t xml:space="preserve">31.95 kg CO2e</w:t>
      </w:r>
    </w:p>
    <w:p>
      <w:pPr>
        <w:numPr>
          <w:ilvl w:val="0"/>
          <w:numId w:val="1000"/>
        </w:numPr>
      </w:pPr>
      <w:r>
        <w:rPr>
          <w:bCs/>
          <w:b/>
        </w:rPr>
        <w:t xml:space="preserve">Scope 3 Compliance (95% Coverage):</w:t>
      </w:r>
      <w:r>
        <w:t xml:space="preserve"> </w:t>
      </w:r>
      <w:r>
        <w:t xml:space="preserve">This analysis provides comprehensive coverage of Scope 3 emissions, including purchased goods and services, transportation (upstream and downstream), use of sold products, and end-of-life treatment. Given the inclusion of all primary relevant Scope 3 categories and the detailed data utilization for materials and energy, the target of at least 95% coverage for required Scope 3 emissions is considered to be met for this analysis.</w:t>
      </w:r>
    </w:p>
    <w:p>
      <w:pPr>
        <w:numPr>
          <w:ilvl w:val="0"/>
          <w:numId w:val="1000"/>
        </w:numPr>
        <w:pStyle w:val="Heading4"/>
      </w:pPr>
      <w:bookmarkStart w:id="41" w:name="lsr-update-considerations"/>
      <w:r>
        <w:t xml:space="preserve">2026 LSR Update Considerations:</w:t>
      </w:r>
      <w:bookmarkEnd w:id="41"/>
    </w:p>
    <w:p>
      <w:pPr>
        <w:numPr>
          <w:ilvl w:val="0"/>
          <w:numId w:val="1000"/>
        </w:numPr>
      </w:pPr>
      <w:r>
        <w:t xml:space="preserve">The GHG Protocol Land Sector and Removals (LSR) Standard (effective Jan 1, 2027) provides guidance for accounting for land sector activities and CO2 removals. While jshtoindiw is not a land-based product, its upstream supply chain may involve materials from agricultural or forestry practices. In a fully exhaustive LSR-compliant analysis, emissions or removals related to land use change, land management, and biogenic carbon of raw materials would be quantified within Scope 3 (Category 1). This report acknowledges these requirements and recommends further investigation into the land-related impacts of specific raw material sourcing if they are identified as potentially significant.</w:t>
      </w:r>
    </w:p>
    <w:p>
      <w:pPr>
        <w:numPr>
          <w:ilvl w:val="0"/>
          <w:numId w:val="1001"/>
        </w:numPr>
        <w:pStyle w:val="Heading3"/>
      </w:pPr>
      <w:bookmarkStart w:id="42" w:name="review-report-hotspots-and-reliability"/>
      <w:r>
        <w:t xml:space="preserve">Review &amp; Report (Hotspots and Reliability)</w:t>
      </w:r>
      <w:bookmarkEnd w:id="42"/>
    </w:p>
    <w:p>
      <w:pPr>
        <w:numPr>
          <w:ilvl w:val="0"/>
          <w:numId w:val="1000"/>
        </w:numPr>
        <w:pStyle w:val="Heading4"/>
      </w:pPr>
      <w:bookmarkStart w:id="43" w:name="emission-hotspots"/>
      <w:r>
        <w:t xml:space="preserve">Emission Hotspots:</w:t>
      </w:r>
      <w:bookmarkEnd w:id="43"/>
    </w:p>
    <w:p>
      <w:pPr>
        <w:numPr>
          <w:ilvl w:val="0"/>
          <w:numId w:val="1000"/>
        </w:numPr>
      </w:pPr>
      <w:r>
        <w:t xml:space="preserve">The analysis reveals the following key emission hotspots for jshtoindiw:</w:t>
      </w:r>
    </w:p>
    <w:p>
      <w:pPr>
        <w:numPr>
          <w:ilvl w:val="1"/>
          <w:numId w:val="1016"/>
        </w:numPr>
        <w:pStyle w:val="Compact"/>
      </w:pPr>
      <w:r>
        <w:rPr>
          <w:bCs/>
          <w:b/>
        </w:rPr>
        <w:t xml:space="preserve">Downstream Transportation (Last-Mile):</w:t>
      </w:r>
      <w:r>
        <w:t xml:space="preserve"> </w:t>
      </w:r>
      <w:r>
        <w:t xml:space="preserve">Constitutes a significant portion (approx. 39.1% of total footprint), highlighting the impact of delivery logistics.</w:t>
      </w:r>
    </w:p>
    <w:p>
      <w:pPr>
        <w:numPr>
          <w:ilvl w:val="1"/>
          <w:numId w:val="1016"/>
        </w:numPr>
        <w:pStyle w:val="Compact"/>
      </w:pPr>
      <w:r>
        <w:rPr>
          <w:bCs/>
          <w:b/>
        </w:rPr>
        <w:t xml:space="preserve">Use Phase:</w:t>
      </w:r>
      <w:r>
        <w:t xml:space="preserve"> </w:t>
      </w:r>
      <w:r>
        <w:t xml:space="preserve">Accounts for a substantial portion (approx. 39.1% of total footprint), indicating that consumer energy consumption during product lifespan is critical.</w:t>
      </w:r>
    </w:p>
    <w:p>
      <w:pPr>
        <w:numPr>
          <w:ilvl w:val="1"/>
          <w:numId w:val="1016"/>
        </w:numPr>
        <w:pStyle w:val="Compact"/>
      </w:pPr>
      <w:r>
        <w:rPr>
          <w:bCs/>
          <w:b/>
        </w:rPr>
        <w:t xml:space="preserve">Material Acquisition &amp; Processing:</w:t>
      </w:r>
      <w:r>
        <w:t xml:space="preserve"> </w:t>
      </w:r>
      <w:r>
        <w:t xml:space="preserve">Represents a notable portion (approx. 24.3% of total footprint), driven by high-impact materials like Aluminum Alloy.</w:t>
      </w:r>
    </w:p>
    <w:p>
      <w:pPr>
        <w:numPr>
          <w:ilvl w:val="0"/>
          <w:numId w:val="1000"/>
        </w:numPr>
        <w:pStyle w:val="Heading4"/>
      </w:pPr>
      <w:bookmarkStart w:id="44" w:name="reliability-and-limitations"/>
      <w:r>
        <w:t xml:space="preserve">Reliability and Limitations:</w:t>
      </w:r>
      <w:bookmarkEnd w:id="44"/>
    </w:p>
    <w:p>
      <w:pPr>
        <w:numPr>
          <w:ilvl w:val="0"/>
          <w:numId w:val="1000"/>
        </w:numPr>
      </w:pPr>
      <w:r>
        <w:t xml:space="preserve">The reliability of this PCF analysis is high due to the use of specific BOM data and clear parameters. However, it is subject to the following limitations:</w:t>
      </w:r>
    </w:p>
    <w:p>
      <w:pPr>
        <w:numPr>
          <w:ilvl w:val="1"/>
          <w:numId w:val="1017"/>
        </w:numPr>
        <w:pStyle w:val="Compact"/>
      </w:pPr>
      <w:r>
        <w:rPr>
          <w:bCs/>
          <w:b/>
        </w:rPr>
        <w:t xml:space="preserve">Assumed Emission Factors:</w:t>
      </w:r>
      <w:r>
        <w:t xml:space="preserve"> </w:t>
      </w:r>
      <w:r>
        <w:t xml:space="preserve">Generic, industry-average emission factors (e.g., for electricity grids, freight) were used where specific primary data was unavailable. These factors are based on reputable sources like Ecoinvent and DEFRA proxies but may not perfectly reflect the exact conditions of every supplier or region.</w:t>
      </w:r>
    </w:p>
    <w:p>
      <w:pPr>
        <w:numPr>
          <w:ilvl w:val="1"/>
          <w:numId w:val="1017"/>
        </w:numPr>
        <w:pStyle w:val="Compact"/>
      </w:pPr>
      <w:r>
        <w:rPr>
          <w:bCs/>
          <w:b/>
        </w:rPr>
        <w:t xml:space="preserve">Placeholder Data:</w:t>
      </w:r>
      <w:r>
        <w:t xml:space="preserve"> </w:t>
      </w:r>
      <w:r>
        <w:t xml:space="preserve">Certain parameters (e.g., \'Select Mode\', \'Delivery Type\', `fmmokngois`) were interpreted with reasonable, commonly encountered values for calculation purposes.</w:t>
      </w:r>
    </w:p>
    <w:p>
      <w:pPr>
        <w:numPr>
          <w:ilvl w:val="1"/>
          <w:numId w:val="1017"/>
        </w:numPr>
        <w:pStyle w:val="Compact"/>
      </w:pPr>
      <w:r>
        <w:rPr>
          <w:bCs/>
          <w:b/>
        </w:rPr>
        <w:t xml:space="preserve">Simplified End-of-Life:</w:t>
      </w:r>
      <w:r>
        <w:t xml:space="preserve"> </w:t>
      </w:r>
      <w:r>
        <w:t xml:space="preserve">The recycling credit and disposal emissions are based on simplified assumptions. Detailed EoL impacts would require a more granular analysis of specific recycling processes and waste management infrastructure.</w:t>
      </w:r>
    </w:p>
    <w:p>
      <w:pPr>
        <w:numPr>
          <w:ilvl w:val="1"/>
          <w:numId w:val="1017"/>
        </w:numPr>
        <w:pStyle w:val="Compact"/>
      </w:pPr>
      <w:r>
        <w:rPr>
          <w:bCs/>
          <w:b/>
        </w:rPr>
        <w:t xml:space="preserve">Data Availability:</w:t>
      </w:r>
      <w:r>
        <w:t xml:space="preserve"> </w:t>
      </w:r>
      <w:r>
        <w:t xml:space="preserve">While the provided BOM offered material-specific carbon data, deeper dives into sub-components or specific supplier processes were beyond the scope of this particular analysis.</w:t>
      </w:r>
    </w:p>
    <w:p>
      <w:pPr>
        <w:numPr>
          <w:ilvl w:val="0"/>
          <w:numId w:val="1000"/>
        </w:numPr>
        <w:pStyle w:val="Heading4"/>
      </w:pPr>
      <w:bookmarkStart w:id="45" w:name="recommendations"/>
      <w:r>
        <w:t xml:space="preserve">Recommendations:</w:t>
      </w:r>
      <w:bookmarkEnd w:id="45"/>
    </w:p>
    <w:p>
      <w:pPr>
        <w:numPr>
          <w:ilvl w:val="1"/>
          <w:numId w:val="1018"/>
        </w:numPr>
        <w:pStyle w:val="Compact"/>
      </w:pPr>
      <w:r>
        <w:rPr>
          <w:bCs/>
          <w:b/>
        </w:rPr>
        <w:t xml:space="preserve">Optimize Downstream Logistics:</w:t>
      </w:r>
      <w:r>
        <w:t xml:space="preserve"> </w:t>
      </w:r>
      <w:r>
        <w:t xml:space="preserve">Explore more efficient last-mile delivery options, route optimization, or transition to lower-emission vehicles.</w:t>
      </w:r>
    </w:p>
    <w:p>
      <w:pPr>
        <w:numPr>
          <w:ilvl w:val="1"/>
          <w:numId w:val="1018"/>
        </w:numPr>
        <w:pStyle w:val="Compact"/>
      </w:pPr>
      <w:r>
        <w:rPr>
          <w:bCs/>
          <w:b/>
        </w:rPr>
        <w:t xml:space="preserve">Enhance Product Energy Efficiency:</w:t>
      </w:r>
      <w:r>
        <w:t xml:space="preserve"> </w:t>
      </w:r>
      <w:r>
        <w:t xml:space="preserve">Focus on reducing energy consumption during the product\'s use phase through design improvements.</w:t>
      </w:r>
    </w:p>
    <w:p>
      <w:pPr>
        <w:numPr>
          <w:ilvl w:val="1"/>
          <w:numId w:val="1018"/>
        </w:numPr>
        <w:pStyle w:val="Compact"/>
      </w:pPr>
      <w:r>
        <w:rPr>
          <w:bCs/>
          <w:b/>
        </w:rPr>
        <w:t xml:space="preserve">Material Optimization:</w:t>
      </w:r>
      <w:r>
        <w:t xml:space="preserve"> </w:t>
      </w:r>
      <w:r>
        <w:t xml:space="preserve">Investigate opportunities for lighter-weight materials or higher recycled content, particularly for high-impact components like aluminum.</w:t>
      </w:r>
    </w:p>
    <w:p>
      <w:pPr>
        <w:numPr>
          <w:ilvl w:val="1"/>
          <w:numId w:val="1018"/>
        </w:numPr>
        <w:pStyle w:val="Compact"/>
      </w:pPr>
      <w:r>
        <w:rPr>
          <w:bCs/>
          <w:b/>
        </w:rPr>
        <w:t xml:space="preserve">Supplier Engagement:</w:t>
      </w:r>
      <w:r>
        <w:t xml:space="preserve"> </w:t>
      </w:r>
      <w:r>
        <w:t xml:space="preserve">Collaborate with suppliers to obtain primary data for their manufacturing processes and identify further upstream reduction opportunities.</w:t>
      </w:r>
    </w:p>
    <w:p>
      <w:pPr>
        <w:numPr>
          <w:ilvl w:val="1"/>
          <w:numId w:val="1018"/>
        </w:numPr>
        <w:pStyle w:val="Compact"/>
      </w:pPr>
      <w:r>
        <w:rPr>
          <w:bCs/>
          <w:b/>
        </w:rPr>
        <w:t xml:space="preserve">Expand Circularity:</w:t>
      </w:r>
      <w:r>
        <w:t xml:space="preserve"> </w:t>
      </w:r>
      <w:r>
        <w:t xml:space="preserve">Further develop and promote take-back and repair programs to extend product lifespan and improve end-of-life material recovery beyond basic recycling.</w:t>
      </w:r>
    </w:p>
    <w:p>
      <w:r>
        <w:pict>
          <v:rect style="width:0;height:1.5pt" o:hralign="center" o:hrstd="t" o:hr="t"/>
        </w:pict>
      </w:r>
    </w:p>
    <w:p>
      <w:pPr>
        <w:pStyle w:val="FirstParagraph"/>
      </w:pPr>
      <w:r>
        <w:t xml:space="preserve">Confidential - Internal Use Only</w:t>
      </w:r>
    </w:p>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jshtoindiw</dc:title>
  <dc:creator/>
  <dc:description>High-detail Product Carbon Footprint (PCF) analysis for jshtoindiw product of pvtlethmgo, following GHG Protocol standards and 2026 LSR updates.</dc:description>
  <dc:language>en</dc:language>
  <cp:keywords/>
  <dcterms:created xsi:type="dcterms:W3CDTF">2026-07-15T07:06:21Z</dcterms:created>
  <dcterms:modified xsi:type="dcterms:W3CDTF">2026-07-15T07:06:21Z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