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jsfuueivfz</w:t>
      </w:r>
      <w:r>
        <w:t xml:space="preserve"> </w:t>
      </w:r>
      <w:r>
        <w:t xml:space="preserve">(InnovateTech</w:t>
      </w:r>
      <w:r>
        <w:t xml:space="preserve"> </w:t>
      </w:r>
      <w:r>
        <w:t xml:space="preserve">Solutions)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jsfuueivfz</w:t>
      </w:r>
    </w:p>
    <w:p>
      <w:pPr>
        <w:pStyle w:val="BodyText"/>
      </w:pPr>
      <w:r>
        <w:t xml:space="preserve">Company: zrpfqizzrr</w:t>
      </w:r>
    </w:p>
    <w:p>
      <w:pPr>
        <w:pStyle w:val="BodyText"/>
      </w:pPr>
      <w:r>
        <w:t xml:space="preserve">Senior Sustainability Consultant: usyikftfwq</w:t>
      </w:r>
    </w:p>
    <w:p>
      <w:pPr>
        <w:pStyle w:val="BodyText"/>
      </w:pPr>
      <w:r>
        <w:t xml:space="preserve">Accounting Standard: GHG Protocol</w:t>
      </w:r>
    </w:p>
    <w:p>
      <w:pPr>
        <w:pStyle w:val="BodyText"/>
      </w:pPr>
      <w:r>
        <w:t xml:space="preserve">Disclaimer: This report is generated based on available data and industry standards at the time of publication. All calculations are indicative and rely on the accuracy and completeness of the provided parameters and selected emission factors.</w:t>
      </w:r>
    </w:p>
    <w:p>
      <w:pPr>
        <w:pStyle w:val="BodyText"/>
      </w:pPr>
      <w:r>
        <w:t xml:space="preserve">Generated Date: May 22, 2026</w:t>
      </w:r>
    </w:p>
    <w:bookmarkEnd w:id="20"/>
    <w:bookmarkStart w:id="21" w:name="executive-summary"/>
    <w:p>
      <w:pPr>
        <w:pStyle w:val="Heading1"/>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jsfuueivfz</w:t>
      </w:r>
      <w:r>
        <w:t xml:space="preserve"> </w:t>
      </w:r>
      <w:r>
        <w:t xml:space="preserve">manufactured by</w:t>
      </w:r>
      <w:r>
        <w:t xml:space="preserve"> </w:t>
      </w:r>
      <w:r>
        <w:rPr>
          <w:bCs/>
          <w:b/>
        </w:rPr>
        <w:t xml:space="preserve">zrpfqizzrr</w:t>
      </w:r>
      <w:r>
        <w:t xml:space="preserve">. The analysis, conducted by</w:t>
      </w:r>
      <w:r>
        <w:t xml:space="preserve"> </w:t>
      </w:r>
      <w:r>
        <w:rPr>
          <w:bCs/>
          <w:b/>
        </w:rPr>
        <w:t xml:space="preserve">usyikftfwq</w:t>
      </w:r>
      <w:r>
        <w:t xml:space="preserve">, Senior Sustainability Consultant, adheres strictly to the GHG Protocol Corporate Value Chain (Scope 3) Accounting and Reporting Standard, incorporating the latest 2026 Land Sector and Removals (LSR) Standard updates for relevant land use and carbon removal considerations. The primary goal is to quantify the total greenhouse gas (GHG) emissions associated with the product\'s lifecycle, from material acquisition to end-of-life, with a focus on achieving at least 95% coverage for Scope 3 emissions. Key hotspots are identified to guide future decarbonization strategies.</w:t>
      </w:r>
    </w:p>
    <w:p>
      <w:r>
        <w:pict>
          <v:rect style="width:0;height:1.5pt" o:hralign="center" o:hrstd="t" o:hr="t"/>
        </w:pict>
      </w:r>
    </w:p>
    <w:bookmarkEnd w:id="21"/>
    <w:bookmarkStart w:id="27" w:name="methodology-and-scope-definition"/>
    <w:p>
      <w:pPr>
        <w:pStyle w:val="Heading1"/>
      </w:pPr>
      <w:r>
        <w:t xml:space="preserve">2. Methodology and Scope Definition</w:t>
      </w:r>
    </w:p>
    <w:bookmarkStart w:id="22" w:name="accounting-standard"/>
    <w:p>
      <w:pPr>
        <w:pStyle w:val="Heading2"/>
      </w:pPr>
      <w:r>
        <w:t xml:space="preserve">2.1. Accounting Standard</w:t>
      </w:r>
    </w:p>
    <w:p>
      <w:pPr>
        <w:pStyle w:val="FirstParagraph"/>
      </w:pPr>
      <w:r>
        <w:t xml:space="preserve">This PCF analysis is conducted in accordance with the</w:t>
      </w:r>
      <w:r>
        <w:t xml:space="preserve"> </w:t>
      </w:r>
      <w:r>
        <w:rPr>
          <w:bCs/>
          <w:b/>
        </w:rPr>
        <w:t xml:space="preserve">GHG Protocol Corporate Value Chain (Scope 3)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applies the principles of the</w:t>
      </w:r>
      <w:r>
        <w:t xml:space="preserve"> </w:t>
      </w:r>
      <w:r>
        <w:rPr>
          <w:bCs/>
          <w:b/>
        </w:rPr>
        <w:t xml:space="preserve">2026 Land Sector and Removals (LSR) Standard</w:t>
      </w:r>
      <w:r>
        <w:t xml:space="preserve">, which provides requirements for corporate GHG accounting covering emissions and carbon removals from agricultural and land use activities. While specific land-use changes directly attributable to jsfuueivfz\'s materials are not explicitly provided in the BOM, the framework for assessing such impacts is acknowledged, especially for any potential biogenic emissions or removals should more detailed data become available. The LSR Standard is effective January 1, 2027, and its accompanying Guidance document is expected in Q2 2026.</w:t>
      </w:r>
    </w:p>
    <w:bookmarkEnd w:id="22"/>
    <w:bookmarkStart w:id="23" w:name="functional-unit"/>
    <w:p>
      <w:pPr>
        <w:pStyle w:val="Heading2"/>
      </w:pPr>
      <w:r>
        <w:t xml:space="preserve">2.2. Functional Unit</w:t>
      </w:r>
    </w:p>
    <w:p>
      <w:pPr>
        <w:pStyle w:val="FirstParagraph"/>
      </w:pPr>
      <w:r>
        <w:t xml:space="preserve">The functional unit for this analysis is defined as</w:t>
      </w:r>
      <w:r>
        <w:t xml:space="preserve"> </w:t>
      </w:r>
      <w:r>
        <w:rPr>
          <w:bCs/>
          <w:b/>
        </w:rPr>
        <w:t xml:space="preserve">1.0 unit of jsfuueivfz</w:t>
      </w:r>
      <w:r>
        <w:t xml:space="preserve">.</w:t>
      </w:r>
    </w:p>
    <w:bookmarkEnd w:id="23"/>
    <w:bookmarkStart w:id="24" w:name="system-boundary"/>
    <w:p>
      <w:pPr>
        <w:pStyle w:val="Heading2"/>
      </w:pPr>
      <w:r>
        <w:t xml:space="preserve">2.3. System Boundary</w:t>
      </w:r>
    </w:p>
    <w:p>
      <w:pPr>
        <w:pStyle w:val="FirstParagraph"/>
      </w:pPr>
      <w:r>
        <w:t xml:space="preserve">The system boundary for this PCF is</w:t>
      </w:r>
      <w:r>
        <w:t xml:space="preserve"> </w:t>
      </w:r>
      <w:r>
        <w:rPr>
          <w:bCs/>
          <w:b/>
        </w:rPr>
        <w:t xml:space="preserve">factory_gate</w:t>
      </w:r>
      <w:r>
        <w:t xml:space="preserve">, meaning it includes all emissions from raw material extraction, processing, manufacturing, and transport to the factory gate. However, to provide a holistic view as per GHG Protocol Scope 3 requirements and user parameters, the analysis extends to include downstream activities such as transport to customer, use phase, and end-of-life treatment. This cradle-to-grave perspective ensures a comprehensive assessment of the product\'s environmental impact.</w:t>
      </w:r>
    </w:p>
    <w:p>
      <w:pPr>
        <w:numPr>
          <w:ilvl w:val="0"/>
          <w:numId w:val="1001"/>
        </w:numPr>
        <w:pStyle w:val="Compact"/>
      </w:pPr>
      <w:r>
        <w:rPr>
          <w:bCs/>
          <w:b/>
        </w:rPr>
        <w:t xml:space="preserve">Upstream (Cradle-to-Gate):</w:t>
      </w:r>
      <w:r>
        <w:t xml:space="preserve"> </w:t>
      </w:r>
      <w:r>
        <w:t xml:space="preserve">Raw material acquisition, processing, manufacturing, and all associated transportation to the final production facility. (GHG Protocol Scope 3: Categories 1, 4)</w:t>
      </w:r>
    </w:p>
    <w:p>
      <w:pPr>
        <w:numPr>
          <w:ilvl w:val="0"/>
          <w:numId w:val="1001"/>
        </w:numPr>
        <w:pStyle w:val="Compact"/>
      </w:pPr>
      <w:r>
        <w:rPr>
          <w:bCs/>
          <w:b/>
        </w:rPr>
        <w:t xml:space="preserve">Core Operations (Gate-to-Gate):</w:t>
      </w:r>
      <w:r>
        <w:t xml:space="preserve"> </w:t>
      </w:r>
      <w:r>
        <w:t xml:space="preserve">Emissions directly from zrpfqizzrr\'s manufacturing processes (if applicable, typically Scope 1 and 2 emissions).</w:t>
      </w:r>
    </w:p>
    <w:p>
      <w:pPr>
        <w:numPr>
          <w:ilvl w:val="0"/>
          <w:numId w:val="1001"/>
        </w:numPr>
        <w:pStyle w:val="Compact"/>
      </w:pPr>
      <w:r>
        <w:rPr>
          <w:bCs/>
          <w:b/>
        </w:rPr>
        <w:t xml:space="preserve">Downstream (Gate-to-Grave):</w:t>
      </w:r>
      <w:r>
        <w:t xml:space="preserve"> </w:t>
      </w:r>
      <w:r>
        <w:t xml:space="preserve">Transportation from factory to customer, product use phase, and end-of-life treatment. (GHG Protocol Scope 3: Categories 4, 9, 11, 12)</w:t>
      </w:r>
    </w:p>
    <w:bookmarkEnd w:id="24"/>
    <w:bookmarkStart w:id="25" w:name="geographic-scope"/>
    <w:p>
      <w:pPr>
        <w:pStyle w:val="Heading2"/>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key distribution within Europe, with final product potentially distributed from China to Europe).</w:t>
      </w:r>
    </w:p>
    <w:bookmarkEnd w:id="25"/>
    <w:bookmarkStart w:id="26" w:name="allocation"/>
    <w:p>
      <w:pPr>
        <w:pStyle w:val="Heading2"/>
      </w:pPr>
      <w:r>
        <w:t xml:space="preserve">2.5. Allocation</w:t>
      </w:r>
    </w:p>
    <w:p>
      <w:pPr>
        <w:pStyle w:val="FirstParagraph"/>
      </w:pPr>
      <w:r>
        <w:t xml:space="preserve">Emissions are allocated directly to the functional unit (1.0 unit of jsfuueivfz). For multi-functional processes, mass-based allocation is applied where appropriate, consistent with GHG Protocol guidance.</w:t>
      </w:r>
    </w:p>
    <w:p>
      <w:r>
        <w:pict>
          <v:rect style="width:0;height:1.5pt" o:hralign="center" o:hrstd="t" o:hr="t"/>
        </w:pict>
      </w:r>
    </w:p>
    <w:bookmarkEnd w:id="26"/>
    <w:bookmarkEnd w:id="27"/>
    <w:bookmarkStart w:id="33" w:name="X939a47aef72a4a28c08ea406bdad185696e1f66"/>
    <w:p>
      <w:pPr>
        <w:pStyle w:val="Heading1"/>
      </w:pPr>
      <w:r>
        <w:t xml:space="preserve">3. Lifecycle Inventory (LCI) and Data Collection</w:t>
      </w:r>
    </w:p>
    <w:p>
      <w:pPr>
        <w:pStyle w:val="FirstParagraph"/>
      </w:pPr>
      <w:r>
        <w:t xml:space="preserve">This section details the primary and secondary data points collected for each lifecycle stage of jsfuueivfz. Where specific parameters were provided as placeholders, representative values are used for calculation purposes to demonstrate methodology.</w:t>
      </w:r>
    </w:p>
    <w:bookmarkStart w:id="28" w:name="Xa801b78b923f19ed270321db2354516b6b269e9"/>
    <w:p>
      <w:pPr>
        <w:pStyle w:val="Heading2"/>
      </w:pPr>
      <w:r>
        <w:t xml:space="preserve">3.1. Materials and Components (Scope 3, Category 1: Purchased Goods and Services)</w:t>
      </w:r>
    </w:p>
    <w:p>
      <w:pPr>
        <w:pStyle w:val="FirstParagraph"/>
      </w:pPr>
      <w:r>
        <w:t xml:space="preserve">The Detailed Bill of Materials (BOM) for jsfuueivfz (from parameter \'rlglplyi\') is critical for high-accuracy material impact calculation. The provided BOM data 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Electronic Components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bl>
    <w:p>
      <w:pPr>
        <w:pStyle w:val="BodyText"/>
      </w:pPr>
      <w:r>
        <w:t xml:space="preserve">Total Material Weight (per functional unit) = 0.15 + 0.05 + 0.1 + 0.03 + 0.02 = 0.35 kg</w:t>
      </w:r>
    </w:p>
    <w:bookmarkEnd w:id="28"/>
    <w:bookmarkStart w:id="29" w:name="X473947627395164b64b04f789851c5ca460b0b7"/>
    <w:p>
      <w:pPr>
        <w:pStyle w:val="Heading2"/>
      </w:pPr>
      <w:r>
        <w:t xml:space="preserve">3.2. Manufacturing Energy (Scope 2: Purchased Electricity, Scope 3: Fuel- and Energy-Related Activities for non-Scope 2)</w:t>
      </w:r>
    </w:p>
    <w:p>
      <w:pPr>
        <w:pStyle w:val="FirstParagraph"/>
      </w:pPr>
      <w:r>
        <w:t xml:space="preserve">The production phase energy data incorporates customization for</w:t>
      </w:r>
      <w:r>
        <w:t xml:space="preserve"> </w:t>
      </w:r>
      <w:r>
        <w:rPr>
          <w:bCs/>
          <w:b/>
        </w:rPr>
        <w:t xml:space="preserve">zrpfqizzrr</w:t>
      </w:r>
      <w:r>
        <w:t xml:space="preserve">\'s operations:</w:t>
      </w:r>
    </w:p>
    <w:p>
      <w:pPr>
        <w:numPr>
          <w:ilvl w:val="0"/>
          <w:numId w:val="1003"/>
        </w:numPr>
        <w:pStyle w:val="Compact"/>
      </w:pPr>
      <w:r>
        <w:rPr>
          <w:bCs/>
          <w:b/>
        </w:rPr>
        <w:t xml:space="preserve">Renewable Energy Usage:</w:t>
      </w:r>
      <w:r>
        <w:t xml:space="preserve"> </w:t>
      </w:r>
      <w:r>
        <w:t xml:space="preserve">twosezwyvn% (e.g., 70%)</w:t>
      </w:r>
    </w:p>
    <w:p>
      <w:pPr>
        <w:numPr>
          <w:ilvl w:val="0"/>
          <w:numId w:val="1003"/>
        </w:numPr>
        <w:pStyle w:val="Compact"/>
      </w:pPr>
      <w:r>
        <w:rPr>
          <w:bCs/>
          <w:b/>
        </w:rPr>
        <w:t xml:space="preserve">Energy Intensity (kWh/unit):</w:t>
      </w:r>
      <w:r>
        <w:t xml:space="preserve"> </w:t>
      </w:r>
      <w:r>
        <w:t xml:space="preserve">omvnyetdyh kWh/unit (e.g., 1.5 kWh/unit)</w:t>
      </w:r>
    </w:p>
    <w:p>
      <w:pPr>
        <w:numPr>
          <w:ilvl w:val="0"/>
          <w:numId w:val="1003"/>
        </w:numPr>
        <w:pStyle w:val="Compact"/>
      </w:pPr>
      <w:r>
        <w:rPr>
          <w:bCs/>
          <w:b/>
        </w:rPr>
        <w:t xml:space="preserve">Geographic Scope:</w:t>
      </w:r>
      <w:r>
        <w:t xml:space="preserve"> </w:t>
      </w:r>
      <w:r>
        <w:t xml:space="preserve">Final Production Country: China.</w:t>
      </w:r>
    </w:p>
    <w:p>
      <w:pPr>
        <w:pStyle w:val="FirstParagraph"/>
      </w:pPr>
      <w:r>
        <w:t xml:space="preserve">For calculation, we assume the non-renewable portion of electricity is sourced from the Chinese national grid. The average grid emission factor for China is approximately 0.556 kg CO2e/kWh to 0.6205 kgCO2e/kWh, with some reports showing around 0.577 kg CO2e/MWh (0.577 kg CO2e/kWh) in 2020. We will use an illustrative factor of 0.6 kgCO2e/kWh for the non-renewable portion for demonstration.</w:t>
      </w:r>
    </w:p>
    <w:bookmarkEnd w:id="29"/>
    <w:bookmarkStart w:id="30" w:name="Xc95c62eddaef3b1fda1c92c12cc1938471facda"/>
    <w:p>
      <w:pPr>
        <w:pStyle w:val="Heading2"/>
      </w:pPr>
      <w:r>
        <w:t xml:space="preserve">3.3. Transportation and Distribution (Scope 3, Category 4: Upstream Transportation and Distribution; Category 9: Downstream Transportation and Distribution)</w:t>
      </w:r>
    </w:p>
    <w:p>
      <w:pPr>
        <w:pStyle w:val="FirstParagraph"/>
      </w:pPr>
      <w:r>
        <w:t xml:space="preserve">Logistics data for the supply chain analysis is incorporated as follows:</w:t>
      </w:r>
    </w:p>
    <w:p>
      <w:pPr>
        <w:numPr>
          <w:ilvl w:val="0"/>
          <w:numId w:val="1004"/>
        </w:numPr>
        <w:pStyle w:val="Compact"/>
      </w:pPr>
      <w:r>
        <w:rPr>
          <w:bCs/>
          <w:b/>
        </w:rPr>
        <w:t xml:space="preserve">Inbound Transport Mode (Placeholder \'Select Mode\'):</w:t>
      </w:r>
      <w:r>
        <w:t xml:space="preserve"> </w:t>
      </w:r>
      <w:r>
        <w:t xml:space="preserve">Ocean Freight (Container Ship)</w:t>
      </w:r>
    </w:p>
    <w:p>
      <w:pPr>
        <w:numPr>
          <w:ilvl w:val="0"/>
          <w:numId w:val="1004"/>
        </w:numPr>
        <w:pStyle w:val="Compact"/>
      </w:pPr>
      <w:r>
        <w:rPr>
          <w:bCs/>
          <w:b/>
        </w:rPr>
        <w:t xml:space="preserve">Transport Distance (Placeholder \'qftsjqhjxq\'):</w:t>
      </w:r>
      <w:r>
        <w:t xml:space="preserve"> </w:t>
      </w:r>
      <w:r>
        <w:t xml:space="preserve">12,000 km</w:t>
      </w:r>
    </w:p>
    <w:p>
      <w:pPr>
        <w:numPr>
          <w:ilvl w:val="0"/>
          <w:numId w:val="1004"/>
        </w:numPr>
        <w:pStyle w:val="Compact"/>
      </w:pPr>
      <w:r>
        <w:rPr>
          <w:bCs/>
          <w:b/>
        </w:rPr>
        <w:t xml:space="preserve">Last-Mile Delivery Channel (Placeholder \'Delivery Type\'):</w:t>
      </w:r>
      <w:r>
        <w:t xml:space="preserve"> </w:t>
      </w:r>
      <w:r>
        <w:t xml:space="preserve">Commercial Van (Diesel)</w:t>
      </w:r>
    </w:p>
    <w:p>
      <w:pPr>
        <w:numPr>
          <w:ilvl w:val="0"/>
          <w:numId w:val="1004"/>
        </w:numPr>
        <w:pStyle w:val="Compact"/>
      </w:pPr>
      <w:r>
        <w:rPr>
          <w:bCs/>
          <w:b/>
        </w:rPr>
        <w:t xml:space="preserve">Assumed Last-Mile Distance:</w:t>
      </w:r>
      <w:r>
        <w:t xml:space="preserve"> </w:t>
      </w:r>
      <w:r>
        <w:t xml:space="preserve">100 km (example for calculation)</w:t>
      </w:r>
    </w:p>
    <w:p>
      <w:pPr>
        <w:pStyle w:val="FirstParagraph"/>
      </w:pPr>
      <w:r>
        <w:t xml:space="preserve">Emission factors for transport modes are typically sourced from databases like DEFRA or Ecoinvent.</w:t>
      </w:r>
    </w:p>
    <w:bookmarkEnd w:id="30"/>
    <w:bookmarkStart w:id="31" w:name="Xc8d47610e025d3b1fe367d676386ecee874efa3"/>
    <w:p>
      <w:pPr>
        <w:pStyle w:val="Heading2"/>
      </w:pPr>
      <w:r>
        <w:t xml:space="preserve">3.4. Use Phase (Scope 3, Category 11: Use of Sold Products)</w:t>
      </w:r>
    </w:p>
    <w:p>
      <w:pPr>
        <w:pStyle w:val="FirstParagraph"/>
      </w:pPr>
      <w:r>
        <w:t xml:space="preserve">The \'Use Phase\' calculation leverages specific durability and consumption data:</w:t>
      </w:r>
    </w:p>
    <w:p>
      <w:pPr>
        <w:numPr>
          <w:ilvl w:val="0"/>
          <w:numId w:val="1005"/>
        </w:numPr>
        <w:pStyle w:val="Compact"/>
      </w:pPr>
      <w:r>
        <w:rPr>
          <w:bCs/>
          <w:b/>
        </w:rPr>
        <w:t xml:space="preserve">Product Lifespan (Placeholder \'tjqwirvrmh\'):</w:t>
      </w:r>
      <w:r>
        <w:t xml:space="preserve"> </w:t>
      </w:r>
      <w:r>
        <w:t xml:space="preserve">5 years</w:t>
      </w:r>
    </w:p>
    <w:p>
      <w:pPr>
        <w:numPr>
          <w:ilvl w:val="0"/>
          <w:numId w:val="1005"/>
        </w:numPr>
        <w:pStyle w:val="Compact"/>
      </w:pPr>
      <w:r>
        <w:rPr>
          <w:bCs/>
          <w:b/>
        </w:rPr>
        <w:t xml:space="preserve">Energy Consumption in Use (Placeholder \'ollptlhrfe\'):</w:t>
      </w:r>
      <w:r>
        <w:t xml:space="preserve"> </w:t>
      </w:r>
      <w:r>
        <w:t xml:space="preserve">0.01 kWh/day</w:t>
      </w:r>
    </w:p>
    <w:p>
      <w:pPr>
        <w:pStyle w:val="FirstParagraph"/>
      </w:pPr>
      <w:r>
        <w:t xml:space="preserve">For calculation, an average global electricity grid emission factor of approximately 0.5 kgCO2e/kWh will be used to estimate end-user emissions.</w:t>
      </w:r>
    </w:p>
    <w:bookmarkEnd w:id="31"/>
    <w:bookmarkStart w:id="32" w:name="X22f9dae0edae5a4ebf0dcf5b8ca74de2c6ea5a4"/>
    <w:p>
      <w:pPr>
        <w:pStyle w:val="Heading2"/>
      </w:pPr>
      <w:r>
        <w:t xml:space="preserve">3.5. End-of-Life (EoL) Scenarios (Scope 3, Category 12: End-of-Life Treatment of Sold Products)</w:t>
      </w:r>
    </w:p>
    <w:p>
      <w:pPr>
        <w:pStyle w:val="FirstParagraph"/>
      </w:pPr>
      <w:r>
        <w:t xml:space="preserve">Circular economy impacts are reflected through EoL scenarios:</w:t>
      </w:r>
    </w:p>
    <w:p>
      <w:pPr>
        <w:numPr>
          <w:ilvl w:val="0"/>
          <w:numId w:val="1006"/>
        </w:numPr>
        <w:pStyle w:val="Compact"/>
      </w:pPr>
      <w:r>
        <w:rPr>
          <w:bCs/>
          <w:b/>
        </w:rPr>
        <w:t xml:space="preserve">Recyclability Percentage (Placeholder \'lxmrvnfpis\'):</w:t>
      </w:r>
      <w:r>
        <w:t xml:space="preserve"> </w:t>
      </w:r>
      <w:r>
        <w:t xml:space="preserve">80% (of material weight)</w:t>
      </w:r>
    </w:p>
    <w:p>
      <w:pPr>
        <w:numPr>
          <w:ilvl w:val="0"/>
          <w:numId w:val="1006"/>
        </w:numPr>
        <w:pStyle w:val="Compact"/>
      </w:pPr>
      <w:r>
        <w:rPr>
          <w:bCs/>
          <w:b/>
        </w:rPr>
        <w:t xml:space="preserve">Circular/Take-back Programs (Placeholder \'omrtlmivnr\'):</w:t>
      </w:r>
      <w:r>
        <w:t xml:space="preserve"> </w:t>
      </w:r>
      <w:r>
        <w:t xml:space="preserve">Active (Product Refurbishment, Component Reuse)</w:t>
      </w:r>
    </w:p>
    <w:p>
      <w:pPr>
        <w:pStyle w:val="FirstParagraph"/>
      </w:pPr>
      <w:r>
        <w:t xml:space="preserve">Emissions from end-of-life are highly dependent on the disposal method. Recycling can lead to avoided emissions by offsetting the need for virgin material production.</w:t>
      </w:r>
    </w:p>
    <w:p>
      <w:r>
        <w:pict>
          <v:rect style="width:0;height:1.5pt" o:hralign="center" o:hrstd="t" o:hr="t"/>
        </w:pict>
      </w:r>
    </w:p>
    <w:bookmarkEnd w:id="32"/>
    <w:bookmarkEnd w:id="33"/>
    <w:bookmarkStart w:id="44" w:name="X439a6e6dcb43c636bf515ffaf3f59bce0bd6490"/>
    <w:p>
      <w:pPr>
        <w:pStyle w:val="Heading1"/>
      </w:pPr>
      <w:r>
        <w:t xml:space="preserve">4. Emission Calculation (Activity * Emission Factor = CO2e)</w:t>
      </w:r>
    </w:p>
    <w:p>
      <w:pPr>
        <w:pStyle w:val="FirstParagraph"/>
      </w:pPr>
      <w:r>
        <w:t xml:space="preserve">This section details the calculation of GHG emissions (in kgCO2e) for each lifecycle stage. Industry-standard emission factors from recognized databases (e.g., Ecoinvent, DEFRA) are applied.</w:t>
      </w:r>
    </w:p>
    <w:bookmarkStart w:id="34" w:name="assumed-emission-factors-for-calculation"/>
    <w:p>
      <w:pPr>
        <w:pStyle w:val="Heading2"/>
      </w:pPr>
      <w:r>
        <w:t xml:space="preserve">4.1. Assumed Emission Factors for Calculation</w:t>
      </w:r>
    </w:p>
    <w:p>
      <w:pPr>
        <w:numPr>
          <w:ilvl w:val="0"/>
          <w:numId w:val="1007"/>
        </w:numPr>
        <w:pStyle w:val="Compact"/>
      </w:pPr>
      <w:r>
        <w:rPr>
          <w:bCs/>
          <w:b/>
        </w:rPr>
        <w:t xml:space="preserve">Manufacturing Electricity (China Grid Mix, non-renewable portion):</w:t>
      </w:r>
      <w:r>
        <w:t xml:space="preserve"> </w:t>
      </w:r>
      <w:r>
        <w:t xml:space="preserve">0.6 kgCO2e/kWh (based on recent data for China\'s grid, accounting for high coal reliance)</w:t>
      </w:r>
    </w:p>
    <w:p>
      <w:pPr>
        <w:numPr>
          <w:ilvl w:val="0"/>
          <w:numId w:val="1007"/>
        </w:numPr>
        <w:pStyle w:val="Compact"/>
      </w:pPr>
      <w:r>
        <w:rPr>
          <w:bCs/>
          <w:b/>
        </w:rPr>
        <w:t xml:space="preserve">Ocean Freight (Container Ship):</w:t>
      </w:r>
      <w:r>
        <w:t xml:space="preserve"> </w:t>
      </w:r>
      <w:r>
        <w:t xml:space="preserve">0.01 kgCO2e/tonne-km (representative average)</w:t>
      </w:r>
    </w:p>
    <w:p>
      <w:pPr>
        <w:numPr>
          <w:ilvl w:val="0"/>
          <w:numId w:val="1007"/>
        </w:numPr>
        <w:pStyle w:val="Compact"/>
      </w:pPr>
      <w:r>
        <w:rPr>
          <w:bCs/>
          <w:b/>
        </w:rPr>
        <w:t xml:space="preserve">Commercial Van (Diesel):</w:t>
      </w:r>
      <w:r>
        <w:t xml:space="preserve"> </w:t>
      </w:r>
      <w:r>
        <w:t xml:space="preserve">0.15 kgCO2e/tonne-km (representative average for last-mile)</w:t>
      </w:r>
    </w:p>
    <w:p>
      <w:pPr>
        <w:numPr>
          <w:ilvl w:val="0"/>
          <w:numId w:val="1007"/>
        </w:numPr>
        <w:pStyle w:val="Compact"/>
      </w:pPr>
      <w:r>
        <w:rPr>
          <w:bCs/>
          <w:b/>
        </w:rPr>
        <w:t xml:space="preserve">General Electricity (Use Phase, Global Average):</w:t>
      </w:r>
      <w:r>
        <w:t xml:space="preserve"> </w:t>
      </w:r>
      <w:r>
        <w:t xml:space="preserve">0.5 kgCO2e/kWh</w:t>
      </w:r>
    </w:p>
    <w:p>
      <w:pPr>
        <w:numPr>
          <w:ilvl w:val="0"/>
          <w:numId w:val="1007"/>
        </w:numPr>
        <w:pStyle w:val="Compact"/>
      </w:pPr>
      <w:r>
        <w:rPr>
          <w:bCs/>
          <w:b/>
        </w:rPr>
        <w:t xml:space="preserve">Recycling (Avoided Emissions):</w:t>
      </w:r>
      <w:r>
        <w:t xml:space="preserve"> </w:t>
      </w:r>
      <w:r>
        <w:t xml:space="preserve">-1.5 kgCO2e/kg (simplified average for mixed materials, recognizing that recycling avoids virgin material production)</w:t>
      </w:r>
    </w:p>
    <w:bookmarkEnd w:id="34"/>
    <w:bookmarkStart w:id="42" w:name="calculations-by-lifecycle-stage"/>
    <w:p>
      <w:pPr>
        <w:pStyle w:val="Heading2"/>
      </w:pPr>
      <w:r>
        <w:t xml:space="preserve">4.2. Calculations by Lifecycle Stage</w:t>
      </w:r>
    </w:p>
    <w:bookmarkStart w:id="35" w:name="Xc030989f2714a8cec85ca09e458bbd9b4a69b0a"/>
    <w:p>
      <w:pPr>
        <w:pStyle w:val="Heading3"/>
      </w:pPr>
      <w:r>
        <w:t xml:space="preserve">4.2.1. Materials Acquisition &amp; Processing (Scope 3, Category 1)</w:t>
      </w:r>
    </w:p>
    <w:p>
      <w:pPr>
        <w:pStyle w:val="FirstParagraph"/>
      </w:pPr>
      <w:r>
        <w:t xml:space="preserve">Based on the provided BOM data, the pre-calculated \'Total Carbon\' values are summed, representing emissions from raw material extraction and processing. These values are assumed to be derived from appropriate emission factors for each material and process.</w:t>
      </w:r>
    </w:p>
    <w:p>
      <w:pPr>
        <w:numPr>
          <w:ilvl w:val="0"/>
          <w:numId w:val="1008"/>
        </w:numPr>
        <w:pStyle w:val="Compact"/>
      </w:pPr>
      <w:r>
        <w:t xml:space="preserve">ABS Plastic Housing: 0.45 kgCO2e</w:t>
      </w:r>
    </w:p>
    <w:p>
      <w:pPr>
        <w:numPr>
          <w:ilvl w:val="0"/>
          <w:numId w:val="1008"/>
        </w:numPr>
        <w:pStyle w:val="Compact"/>
      </w:pPr>
      <w:r>
        <w:t xml:space="preserve">Lithium-ion Battery: 0.75 kgCO2e</w:t>
      </w:r>
    </w:p>
    <w:p>
      <w:pPr>
        <w:numPr>
          <w:ilvl w:val="0"/>
          <w:numId w:val="1008"/>
        </w:numPr>
        <w:pStyle w:val="Compact"/>
      </w:pPr>
      <w:r>
        <w:t xml:space="preserve">Aluminum Casing: 0.80 kgCO2e</w:t>
      </w:r>
    </w:p>
    <w:p>
      <w:pPr>
        <w:numPr>
          <w:ilvl w:val="0"/>
          <w:numId w:val="1008"/>
        </w:numPr>
        <w:pStyle w:val="Compact"/>
      </w:pPr>
      <w:r>
        <w:t xml:space="preserve">Printed Circuit Board: 0.30 kgCO2e</w:t>
      </w:r>
    </w:p>
    <w:p>
      <w:pPr>
        <w:numPr>
          <w:ilvl w:val="0"/>
          <w:numId w:val="1008"/>
        </w:numPr>
        <w:pStyle w:val="Compact"/>
      </w:pPr>
      <w:r>
        <w:t xml:space="preserve">Electronic Components (mixed): 0.50 kgCO2e</w:t>
      </w:r>
    </w:p>
    <w:p>
      <w:pPr>
        <w:pStyle w:val="FirstParagraph"/>
      </w:pPr>
      <w:r>
        <w:rPr>
          <w:bCs/>
          <w:b/>
        </w:rPr>
        <w:t xml:space="preserve">Total Material Emissions = 0.45 + 0.75 + 0.80 + 0.30 + 0.50 = 2.80 kgCO2e</w:t>
      </w:r>
    </w:p>
    <w:bookmarkEnd w:id="35"/>
    <w:bookmarkStart w:id="36" w:name="manufacturing-scope-2-3"/>
    <w:p>
      <w:pPr>
        <w:pStyle w:val="Heading3"/>
      </w:pPr>
      <w:r>
        <w:t xml:space="preserve">4.2.2. Manufacturing (Scope 2 &amp; 3)</w:t>
      </w:r>
    </w:p>
    <w:p>
      <w:pPr>
        <w:pStyle w:val="FirstParagraph"/>
      </w:pPr>
      <w:r>
        <w:t xml:space="preserve">Energy Consumption = omvnyetdyh kWh/unit = 1.5 kWh/unit</w:t>
      </w:r>
    </w:p>
    <w:p>
      <w:pPr>
        <w:pStyle w:val="BodyText"/>
      </w:pPr>
      <w:r>
        <w:t xml:space="preserve">Renewable Energy Usage = twosezwyvn% = 70%</w:t>
      </w:r>
    </w:p>
    <w:p>
      <w:pPr>
        <w:pStyle w:val="BodyText"/>
      </w:pPr>
      <w:r>
        <w:t xml:space="preserve">Non-Renewable Energy Usage = 100% - 70% = 30%</w:t>
      </w:r>
    </w:p>
    <w:p>
      <w:pPr>
        <w:pStyle w:val="BodyText"/>
      </w:pPr>
      <w:r>
        <w:t xml:space="preserve">Emissions from Non-Renewable Electricity = 1.5 kWh/unit * 0.30 * 0.6 kgCO2e/kWh = 0.27 kgCO2e</w:t>
      </w:r>
    </w:p>
    <w:p>
      <w:pPr>
        <w:pStyle w:val="BodyText"/>
      </w:pPr>
      <w:r>
        <w:rPr>
          <w:bCs/>
          <w:b/>
        </w:rPr>
        <w:t xml:space="preserve">Total Manufacturing Energy Emissions = 0.27 kgCO2e</w:t>
      </w:r>
    </w:p>
    <w:bookmarkEnd w:id="36"/>
    <w:bookmarkStart w:id="39" w:name="Xd64c987d4463689a27b7a1e285f430fee8d470e"/>
    <w:p>
      <w:pPr>
        <w:pStyle w:val="Heading3"/>
      </w:pPr>
      <w:r>
        <w:t xml:space="preserve">4.2.3. Transportation and Distribution (Scope 3, Category 4 &amp; 9)</w:t>
      </w:r>
    </w:p>
    <w:bookmarkStart w:id="37" w:name="X3b9c6b5ecc3c019e65306694ce5901f2e905f44"/>
    <w:p>
      <w:pPr>
        <w:pStyle w:val="Heading4"/>
      </w:pPr>
      <w:r>
        <w:t xml:space="preserve">Inbound Transport (Raw Materials to Factory)</w:t>
      </w:r>
    </w:p>
    <w:p>
      <w:pPr>
        <w:pStyle w:val="FirstParagraph"/>
      </w:pPr>
      <w:r>
        <w:t xml:space="preserve">Total Material Weight = 0.35 kg = 0.00035 tonnes</w:t>
      </w:r>
    </w:p>
    <w:p>
      <w:pPr>
        <w:pStyle w:val="BodyText"/>
      </w:pPr>
      <w:r>
        <w:t xml:space="preserve">Transport Mode = Ocean Freight (Container Ship)</w:t>
      </w:r>
    </w:p>
    <w:p>
      <w:pPr>
        <w:pStyle w:val="BodyText"/>
      </w:pPr>
      <w:r>
        <w:t xml:space="preserve">Transport Distance = qftsjqhjxq km = 12,000 km</w:t>
      </w:r>
    </w:p>
    <w:p>
      <w:pPr>
        <w:pStyle w:val="BodyText"/>
      </w:pPr>
      <w:r>
        <w:t xml:space="preserve">Emissions = 0.00035 tonnes * 12,000 km * 0.01 kgCO2e/tonne-km = 0.042 kgCO2e</w:t>
      </w:r>
    </w:p>
    <w:bookmarkEnd w:id="37"/>
    <w:bookmarkStart w:id="38" w:name="outbound-transport-last-mile-delivery"/>
    <w:p>
      <w:pPr>
        <w:pStyle w:val="Heading4"/>
      </w:pPr>
      <w:r>
        <w:t xml:space="preserve">Outbound Transport (Last-Mile Delivery)</w:t>
      </w:r>
    </w:p>
    <w:p>
      <w:pPr>
        <w:pStyle w:val="FirstParagraph"/>
      </w:pPr>
      <w:r>
        <w:t xml:space="preserve">Product Weight (per unit) = 0.35 kg = 0.00035 tonnes</w:t>
      </w:r>
    </w:p>
    <w:p>
      <w:pPr>
        <w:pStyle w:val="BodyText"/>
      </w:pPr>
      <w:r>
        <w:t xml:space="preserve">Last-Mile Delivery Channel = Commercial Van (Diesel)</w:t>
      </w:r>
    </w:p>
    <w:p>
      <w:pPr>
        <w:pStyle w:val="BodyText"/>
      </w:pPr>
      <w:r>
        <w:t xml:space="preserve">Assumed Last-Mile Distance = 100 km</w:t>
      </w:r>
    </w:p>
    <w:p>
      <w:pPr>
        <w:pStyle w:val="BodyText"/>
      </w:pPr>
      <w:r>
        <w:t xml:space="preserve">Emissions = 0.00035 tonnes * 100 km * 0.15 kgCO2e/tonne-km = 0.00525 kgCO2e</w:t>
      </w:r>
    </w:p>
    <w:p>
      <w:pPr>
        <w:pStyle w:val="BodyText"/>
      </w:pPr>
      <w:r>
        <w:rPr>
          <w:bCs/>
          <w:b/>
        </w:rPr>
        <w:t xml:space="preserve">Total Transportation Emissions = 0.042 + 0.00525 = 0.04725 kgCO2e</w:t>
      </w:r>
    </w:p>
    <w:bookmarkEnd w:id="38"/>
    <w:bookmarkEnd w:id="39"/>
    <w:bookmarkStart w:id="40" w:name="use-phase-scope-3-category-11"/>
    <w:p>
      <w:pPr>
        <w:pStyle w:val="Heading3"/>
      </w:pPr>
      <w:r>
        <w:t xml:space="preserve">4.2.4. Use Phase (Scope 3, Category 11)</w:t>
      </w:r>
    </w:p>
    <w:p>
      <w:pPr>
        <w:pStyle w:val="FirstParagraph"/>
      </w:pPr>
      <w:r>
        <w:t xml:space="preserve">Product Lifespan = tjqwirvrmh years = 5 years</w:t>
      </w:r>
    </w:p>
    <w:p>
      <w:pPr>
        <w:pStyle w:val="BodyText"/>
      </w:pPr>
      <w:r>
        <w:t xml:space="preserve">Energy Consumption in Use = ollptlhrfe kWh/day = 0.01 kWh/day</w:t>
      </w:r>
    </w:p>
    <w:p>
      <w:pPr>
        <w:pStyle w:val="BodyText"/>
      </w:pPr>
      <w:r>
        <w:t xml:space="preserve">Total energy consumption over lifespan = 5 years * 365 days/year * 0.01 kWh/day = 18.25 kWh</w:t>
      </w:r>
    </w:p>
    <w:p>
      <w:pPr>
        <w:pStyle w:val="BodyText"/>
      </w:pPr>
      <w:r>
        <w:t xml:space="preserve">Emissions = 18.25 kWh * 0.5 kgCO2e/kWh = 9.125 kgCO2e</w:t>
      </w:r>
    </w:p>
    <w:p>
      <w:pPr>
        <w:pStyle w:val="BodyText"/>
      </w:pPr>
      <w:r>
        <w:rPr>
          <w:bCs/>
          <w:b/>
        </w:rPr>
        <w:t xml:space="preserve">Total Use Phase Emissions = 9.125 kgCO2e</w:t>
      </w:r>
    </w:p>
    <w:bookmarkEnd w:id="40"/>
    <w:bookmarkStart w:id="41" w:name="end-of-life-eol-scope-3-category-12"/>
    <w:p>
      <w:pPr>
        <w:pStyle w:val="Heading3"/>
      </w:pPr>
      <w:r>
        <w:t xml:space="preserve">4.2.5. End-of-Life (EoL) (Scope 3, Category 12)</w:t>
      </w:r>
    </w:p>
    <w:p>
      <w:pPr>
        <w:pStyle w:val="FirstParagraph"/>
      </w:pPr>
      <w:r>
        <w:t xml:space="preserve">Recyclability Percentage = lxmrvnfpis% = 80%</w:t>
      </w:r>
    </w:p>
    <w:p>
      <w:pPr>
        <w:pStyle w:val="BodyText"/>
      </w:pPr>
      <w:r>
        <w:t xml:space="preserve">Total Material Weight = 0.35 kg</w:t>
      </w:r>
    </w:p>
    <w:p>
      <w:pPr>
        <w:pStyle w:val="BodyText"/>
      </w:pPr>
      <w:r>
        <w:t xml:space="preserve">Recycled Material Weight = 0.35 kg * 0.80 = 0.28 kg</w:t>
      </w:r>
    </w:p>
    <w:p>
      <w:pPr>
        <w:pStyle w:val="BodyText"/>
      </w:pPr>
      <w:r>
        <w:t xml:space="preserve">Avoided Emissions from Recycling = 0.28 kg * -1.5 kgCO2e/kg = -0.42 kgCO2e</w:t>
      </w:r>
    </w:p>
    <w:p>
      <w:pPr>
        <w:pStyle w:val="BodyText"/>
      </w:pPr>
      <w:r>
        <w:t xml:space="preserve">Remaining Waste (to landfill/incineration, simplified to zero net emissions for this report given focus on recycling benefits, though real-world would incur emissions)</w:t>
      </w:r>
    </w:p>
    <w:p>
      <w:pPr>
        <w:pStyle w:val="BodyText"/>
      </w:pPr>
      <w:r>
        <w:t xml:space="preserve">Circular/Take-back Programs: omrtlmivnr (Active (Product Refurbishment, Component Reuse)) - This activity further reduces the overall lifecycle impact by extending product lifespan or reusing components, potentially avoiding significant new production emissions. Quantifying this would require detailed data on reuse rates and avoided production, which is beyond the scope of current parameters but noted as a positive impact.</w:t>
      </w:r>
    </w:p>
    <w:p>
      <w:pPr>
        <w:pStyle w:val="BodyText"/>
      </w:pPr>
      <w:r>
        <w:rPr>
          <w:bCs/>
          <w:b/>
        </w:rPr>
        <w:t xml:space="preserve">Total End-of-Life Emissions = -0.42 kgCO2e</w:t>
      </w:r>
      <w:r>
        <w:t xml:space="preserve"> </w:t>
      </w:r>
      <w:r>
        <w:t xml:space="preserve">(Net avoided emissions)</w:t>
      </w:r>
    </w:p>
    <w:bookmarkEnd w:id="41"/>
    <w:bookmarkEnd w:id="42"/>
    <w:bookmarkStart w:id="43" w:name="X9b8f96e5fd6ec30b02c91cc11d45f1568d9808c"/>
    <w:p>
      <w:pPr>
        <w:pStyle w:val="Heading2"/>
      </w:pPr>
      <w:r>
        <w:t xml:space="preserve">4.3.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 per functional unit)</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2.80</w:t>
            </w:r>
          </w:p>
        </w:tc>
      </w:tr>
      <w:tr>
        <w:tc>
          <w:tcPr/>
          <w:p>
            <w:pPr>
              <w:pStyle w:val="Compact"/>
              <w:jc w:val="left"/>
            </w:pPr>
            <w:r>
              <w:t xml:space="preserve">Manufacturing Energy</w:t>
            </w:r>
          </w:p>
        </w:tc>
        <w:tc>
          <w:tcPr/>
          <w:p>
            <w:pPr>
              <w:pStyle w:val="Compact"/>
              <w:jc w:val="left"/>
            </w:pPr>
            <w:r>
              <w:t xml:space="preserve">Scope 2 (or 3 if outsourced)</w:t>
            </w:r>
          </w:p>
        </w:tc>
        <w:tc>
          <w:tcPr/>
          <w:p>
            <w:pPr>
              <w:pStyle w:val="Compact"/>
              <w:jc w:val="left"/>
            </w:pPr>
            <w:r>
              <w:t xml:space="preserve">Purchased Electricity</w:t>
            </w:r>
          </w:p>
        </w:tc>
        <w:tc>
          <w:tcPr/>
          <w:p>
            <w:pPr>
              <w:pStyle w:val="Compact"/>
              <w:jc w:val="left"/>
            </w:pPr>
            <w:r>
              <w:t xml:space="preserve">0.27</w:t>
            </w:r>
          </w:p>
        </w:tc>
      </w:tr>
      <w:tr>
        <w:tc>
          <w:tcPr/>
          <w:p>
            <w:pPr>
              <w:pStyle w:val="Compact"/>
              <w:jc w:val="left"/>
            </w:pPr>
            <w:r>
              <w:t xml:space="preserve">Inbound Transportation</w:t>
            </w:r>
          </w:p>
        </w:tc>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0.04725 (includes last mile example)</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9.125</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-0.42 (avoided emissions)</w:t>
            </w:r>
          </w:p>
        </w:tc>
      </w:tr>
    </w:tbl>
    <w:p>
      <w:pPr>
        <w:pStyle w:val="BodyText"/>
      </w:pPr>
      <w:r>
        <w:rPr>
          <w:bCs/>
          <w:b/>
        </w:rPr>
        <w:t xml:space="preserve">Total Product Carbon Footprint (PCF) for 1.0 unit of jsfuueivfz = 2.80 + 0.27 + 0.04725 + 9.125 - 0.42 = 11.82225 kgCO2e</w:t>
      </w:r>
    </w:p>
    <w:p>
      <w:r>
        <w:pict>
          <v:rect style="width:0;height:1.5pt" o:hralign="center" o:hrstd="t" o:hr="t"/>
        </w:pict>
      </w:r>
    </w:p>
    <w:bookmarkEnd w:id="43"/>
    <w:bookmarkEnd w:id="44"/>
    <w:bookmarkStart w:id="48" w:name="review-report"/>
    <w:p>
      <w:pPr>
        <w:pStyle w:val="Heading1"/>
      </w:pPr>
      <w:r>
        <w:t xml:space="preserve">5. Review &amp; Report</w:t>
      </w:r>
    </w:p>
    <w:bookmarkStart w:id="45" w:name="emissions-hotspots"/>
    <w:p>
      <w:pPr>
        <w:pStyle w:val="Heading2"/>
      </w:pPr>
      <w:r>
        <w:t xml:space="preserve">5.1. Emissions Hotspots</w:t>
      </w:r>
    </w:p>
    <w:p>
      <w:pPr>
        <w:pStyle w:val="FirstParagraph"/>
      </w:pPr>
      <w:r>
        <w:t xml:space="preserve">The primary emission hotspots for jsfuueivfz are:</w:t>
      </w:r>
    </w:p>
    <w:p>
      <w:pPr>
        <w:numPr>
          <w:ilvl w:val="0"/>
          <w:numId w:val="1009"/>
        </w:numPr>
        <w:pStyle w:val="Compact"/>
      </w:pPr>
      <w:r>
        <w:rPr>
          <w:bCs/>
          <w:b/>
        </w:rPr>
        <w:t xml:space="preserve">Use Phase (9.125 kgCO2e):</w:t>
      </w:r>
      <w:r>
        <w:t xml:space="preserve"> </w:t>
      </w:r>
      <w:r>
        <w:t xml:space="preserve">This is by far the largest contributor, accounting for approximately 77% of the total PCF. This highlights the significant impact of the product\'s energy consumption during its 5-year lifespan.</w:t>
      </w:r>
    </w:p>
    <w:p>
      <w:pPr>
        <w:numPr>
          <w:ilvl w:val="0"/>
          <w:numId w:val="1009"/>
        </w:numPr>
        <w:pStyle w:val="Compact"/>
      </w:pPr>
      <w:r>
        <w:rPr>
          <w:bCs/>
          <w:b/>
        </w:rPr>
        <w:t xml:space="preserve">Materials Acquisition &amp; Processing (2.80 kgCO2e):</w:t>
      </w:r>
      <w:r>
        <w:t xml:space="preserve"> </w:t>
      </w:r>
      <w:r>
        <w:t xml:space="preserve">The upstream production of materials, particularly electronic components and aluminum, represents the second largest hotspot.</w:t>
      </w:r>
    </w:p>
    <w:p>
      <w:pPr>
        <w:numPr>
          <w:ilvl w:val="0"/>
          <w:numId w:val="1009"/>
        </w:numPr>
        <w:pStyle w:val="Compact"/>
      </w:pPr>
      <w:r>
        <w:rPr>
          <w:bCs/>
          <w:b/>
        </w:rPr>
        <w:t xml:space="preserve">Manufacturing Energy (0.27 kgCO2e):</w:t>
      </w:r>
      <w:r>
        <w:t xml:space="preserve"> </w:t>
      </w:r>
      <w:r>
        <w:t xml:space="preserve">While significant, the high renewable energy usage (twosezwyvn%) at the production facility helps to mitigate this impact.</w:t>
      </w:r>
    </w:p>
    <w:bookmarkEnd w:id="45"/>
    <w:bookmarkStart w:id="46" w:name="scope-3-compliance-and-coverage"/>
    <w:p>
      <w:pPr>
        <w:pStyle w:val="Heading2"/>
      </w:pPr>
      <w:r>
        <w:t xml:space="preserve">5.2. Scope 3 Compliance and Coverage</w:t>
      </w:r>
    </w:p>
    <w:p>
      <w:pPr>
        <w:pStyle w:val="FirstParagraph"/>
      </w:pPr>
      <w:r>
        <w:t xml:space="preserve">This report demonstrates a comprehensive approach to Scope 3 reporting, covering major categories relevant to a product\'s lifecycle (Categories 1, 4, 9, 11, 12). Given the identified hotspots, these categories are expected to represent well over the 95% coverage for Scope 3 emissions as per 2026 requirements.</w:t>
      </w:r>
    </w:p>
    <w:p>
      <w:pPr>
        <w:pStyle w:val="BodyText"/>
      </w:pPr>
      <w:r>
        <w:t xml:space="preserve">The</w:t>
      </w:r>
      <w:r>
        <w:t xml:space="preserve"> </w:t>
      </w:r>
      <w:r>
        <w:rPr>
          <w:bCs/>
          <w:b/>
        </w:rPr>
        <w:t xml:space="preserve">Land Sector and Removals (LSR) Standard (2026 Update)</w:t>
      </w:r>
      <w:r>
        <w:t xml:space="preserve"> </w:t>
      </w:r>
      <w:r>
        <w:t xml:space="preserve">focuses on land use emissions and removals, particularly relevant for agricultural and land-intensive products. While direct land-use change from raw materials for jsfuueivfz (an IoT sensor) is likely minimal, future iterations of this PCF should investigate if any component materials (e.g., specific rare earth metals) have significant land-use impacts in their supply chains. The current analysis assumes these are embedded within the material emission factors. The standard also covers technological CO2 removals, which are not directly applicable to this product\'s lifecycle but are noted for future considerations in broader corporate inventories.</w:t>
      </w:r>
    </w:p>
    <w:bookmarkEnd w:id="46"/>
    <w:bookmarkStart w:id="47" w:name="reliability-statement"/>
    <w:p>
      <w:pPr>
        <w:pStyle w:val="Heading2"/>
      </w:pPr>
      <w:r>
        <w:t xml:space="preserve">5.3. Reliability Statement</w:t>
      </w:r>
    </w:p>
    <w:p>
      <w:pPr>
        <w:pStyle w:val="FirstParagraph"/>
      </w:pPr>
      <w:r>
        <w:t xml:space="preserve">The reliability of this PCF report is dependent on the accuracy and representativeness of the input data and chosen emission factors.</w:t>
      </w:r>
    </w:p>
    <w:p>
      <w:pPr>
        <w:numPr>
          <w:ilvl w:val="0"/>
          <w:numId w:val="1010"/>
        </w:numPr>
        <w:pStyle w:val="Compact"/>
      </w:pPr>
      <w:r>
        <w:rPr>
          <w:bCs/>
          <w:b/>
        </w:rPr>
        <w:t xml:space="preserve">High-Accuracy BOM:</w:t>
      </w:r>
      <w:r>
        <w:t xml:space="preserve"> </w:t>
      </w:r>
      <w:r>
        <w:t xml:space="preserve">The use of a detailed BOM (rlglplyi) improves the accuracy of material-related impacts compared to generic estimates.</w:t>
      </w:r>
    </w:p>
    <w:p>
      <w:pPr>
        <w:numPr>
          <w:ilvl w:val="0"/>
          <w:numId w:val="1010"/>
        </w:numPr>
        <w:pStyle w:val="Compact"/>
      </w:pPr>
      <w:r>
        <w:rPr>
          <w:bCs/>
          <w:b/>
        </w:rPr>
        <w:t xml:space="preserve">Placeholder Data:</w:t>
      </w:r>
      <w:r>
        <w:t xml:space="preserve"> </w:t>
      </w:r>
      <w:r>
        <w:t xml:space="preserve">Parameters provided as placeholders (e.g., \'Select Mode\', \'qftsjqhjxq\', \'twosezwyvn\', \'omvnyetdyh\', \'tjqwirvrmh\', \'ollptlhrfe\', \'lxmrvnfpis\', \'omrtlmivnr\') were assigned representative values for the purpose of demonstrating calculation methodology. For an actual audit, precise company-specific data for these parameters would be essential.</w:t>
      </w:r>
    </w:p>
    <w:p>
      <w:pPr>
        <w:numPr>
          <w:ilvl w:val="0"/>
          <w:numId w:val="1010"/>
        </w:numPr>
        <w:pStyle w:val="Compact"/>
      </w:pPr>
      <w:r>
        <w:rPr>
          <w:bCs/>
          <w:b/>
        </w:rPr>
        <w:t xml:space="preserve">Emission Factors:</w:t>
      </w:r>
      <w:r>
        <w:t xml:space="preserve"> </w:t>
      </w:r>
      <w:r>
        <w:t xml:space="preserve">Generic, publicly available emission factors (e.g., from Ecoinvent/DEFRA equivalents) were used. Using primary data from suppliers or more specific industry averages would further enhance accuracy.</w:t>
      </w:r>
    </w:p>
    <w:p>
      <w:pPr>
        <w:numPr>
          <w:ilvl w:val="0"/>
          <w:numId w:val="1010"/>
        </w:numPr>
        <w:pStyle w:val="Compact"/>
      </w:pPr>
      <w:r>
        <w:rPr>
          <w:bCs/>
          <w:b/>
        </w:rPr>
        <w:t xml:space="preserve">System Boundary:</w:t>
      </w:r>
      <w:r>
        <w:t xml:space="preserve"> </w:t>
      </w:r>
      <w:r>
        <w:t xml:space="preserve">The cradle-to-grave approach provides a comprehensive view.</w:t>
      </w:r>
    </w:p>
    <w:p>
      <w:pPr>
        <w:pStyle w:val="FirstParagraph"/>
      </w:pPr>
      <w:r>
        <w:t xml:space="preserve">Overall, this report provides a robust initial assessment, with clear pathways for refinement as more specific operational and supply chain data become available.</w:t>
      </w:r>
    </w:p>
    <w:p>
      <w:r>
        <w:pict>
          <v:rect style="width:0;height:1.5pt" o:hralign="center" o:hrstd="t" o:hr="t"/>
        </w:pict>
      </w:r>
    </w:p>
    <w:p>
      <w:pPr>
        <w:pStyle w:val="FirstParagraph"/>
      </w:pPr>
      <w:r>
        <w:t xml:space="preserve">Confidential - Internal Use Only | Page</w:t>
      </w:r>
      <w:r>
        <w:t xml:space="preserve"> </w:t>
      </w:r>
      <w:r>
        <w:t xml:space="preserve"> </w:t>
      </w:r>
      <w:r>
        <w:t xml:space="preserve">| Generated by usyikftfwq for zrpfqizzrr</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jsfuueivfz (InnovateTech Solutions)</dc:title>
  <dc:creator/>
  <dc:description>High-detail Product Carbon Footprint (PCF) analysis for jsfuueivfz, performed by usyikftfwq, Senior Sustainability Consultant at zrpfqizzrr, adhering to GHG Protocol and 2026 LSR Update.</dc:description>
  <dc:language>en</dc:language>
  <cp:keywords/>
  <dcterms:created xsi:type="dcterms:W3CDTF">2026-05-30T19:24:43Z</dcterms:created>
  <dcterms:modified xsi:type="dcterms:W3CDTF">2026-05-30T19:24:43Z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