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jrwtjqtwpw</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rPr>
          <w:bCs/>
          <w:b/>
        </w:rPr>
        <w:t xml:space="preserve">Product:</w:t>
      </w:r>
      <w:r>
        <w:t xml:space="preserve"> </w:t>
      </w:r>
      <w:r>
        <w:t xml:space="preserve">jrwtjqtwpw</w:t>
      </w:r>
    </w:p>
    <w:p>
      <w:pPr>
        <w:pStyle w:val="BodyText"/>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pvlwvtqgzh</w:t>
      </w:r>
    </w:p>
    <w:p>
      <w:pPr>
        <w:pStyle w:val="BodyText"/>
      </w:pPr>
      <w:r>
        <w:rPr>
          <w:bCs/>
          <w:b/>
        </w:rPr>
        <w:t xml:space="preserve">Senior Sustainability Consultant:</w:t>
      </w:r>
      <w:r>
        <w:t xml:space="preserve"> </w:t>
      </w:r>
      <w:r>
        <w:t xml:space="preserve">viskwzfmvj</w:t>
      </w:r>
    </w:p>
    <w:p>
      <w:pPr>
        <w:pStyle w:val="BodyText"/>
      </w:pPr>
      <w:r>
        <w:t xml:space="preserve">Disclaimer: This report is generated based on available data and industry standards. While every effort has been made to ensure accuracy, the actual environmental impacts may vary depending on real-world conditions and data precision.</w:t>
      </w:r>
    </w:p>
    <w:bookmarkEnd w:id="20"/>
    <w:p>
      <w:pPr>
        <w:pStyle w:val="BodyText"/>
      </w:pPr>
      <w:r>
        <w:t xml:space="preserve">Product Carbon Footprint Report - jrwtjqtwpw | Generated Date: June 1, 2026</w:t>
      </w:r>
    </w:p>
    <w:bookmarkStart w:id="45" w:name="executive-summary"/>
    <w:p>
      <w:pPr>
        <w:pStyle w:val="Heading1"/>
      </w:pPr>
      <w:r>
        <w:t xml:space="preserve">Executive Summary</w:t>
      </w:r>
    </w:p>
    <w:p>
      <w:pPr>
        <w:pStyle w:val="FirstParagraph"/>
      </w:pPr>
      <w:r>
        <w:t xml:space="preserve">This Product Carbon Footprint (PCF) analysis provides a high-detail assessment of the greenhouse gas (GHG) emissions associated with the product</w:t>
      </w:r>
      <w:r>
        <w:t xml:space="preserve"> </w:t>
      </w:r>
      <w:r>
        <w:rPr>
          <w:bCs/>
          <w:b/>
        </w:rPr>
        <w:t xml:space="preserve">jrwtjqtwpw</w:t>
      </w:r>
      <w:r>
        <w:t xml:space="preserve"> </w:t>
      </w:r>
      <w:r>
        <w:t xml:space="preserve">manufactured by</w:t>
      </w:r>
      <w:r>
        <w:t xml:space="preserve"> </w:t>
      </w:r>
      <w:r>
        <w:rPr>
          <w:bCs/>
          <w:b/>
        </w:rPr>
        <w:t xml:space="preserve">pvlwvtqgzh</w:t>
      </w:r>
      <w:r>
        <w:t xml:space="preserve">. The analysis follows the Greenhouse Gas Protocol (GHG Protocol) standards, incorporating the latest 2026 Land Sector and Removals (LSR) Standard updates and ensuring at least 95% coverage for Scope 3 emissions. The goal is to identify key emission hotspots across the product\'s lifecycle, from raw material acquisition to end-of-life, enabling informed decisions for decarbonization efforts. This report was prepared by</w:t>
      </w:r>
      <w:r>
        <w:t xml:space="preserve"> </w:t>
      </w:r>
      <w:r>
        <w:rPr>
          <w:bCs/>
          <w:b/>
        </w:rPr>
        <w:t xml:space="preserve">viskwzfmvj</w:t>
      </w:r>
      <w:r>
        <w:t xml:space="preserve">, Senior Sustainability Consultant.</w:t>
      </w:r>
    </w:p>
    <w:p>
      <w:r>
        <w:pict>
          <v:rect style="width:0;height:1.5pt" o:hralign="center" o:hrstd="t" o:hr="t"/>
        </w:pict>
      </w:r>
    </w:p>
    <w:bookmarkStart w:id="21" w:name="defining-the-scope"/>
    <w:p>
      <w:pPr>
        <w:pStyle w:val="Heading2"/>
      </w:pPr>
      <w:r>
        <w:t xml:space="preserve">1. Defining the Scope</w:t>
      </w:r>
    </w:p>
    <w:p>
      <w:pPr>
        <w:pStyle w:val="FirstParagraph"/>
      </w:pPr>
      <w:r>
        <w:t xml:space="preserve">The first step in this PCF analysis for product</w:t>
      </w:r>
      <w:r>
        <w:t xml:space="preserve"> </w:t>
      </w:r>
      <w:r>
        <w:rPr>
          <w:bCs/>
          <w:b/>
        </w:rPr>
        <w:t xml:space="preserve">jrwtjqtwpw</w:t>
      </w:r>
      <w:r>
        <w:t xml:space="preserve"> </w:t>
      </w:r>
      <w:r>
        <w:t xml:space="preserve">is to clearly define the parameters, ensuring consistency and comparability of results in accordance with the</w:t>
      </w:r>
      <w:r>
        <w:t xml:space="preserve"> </w:t>
      </w:r>
      <w:r>
        <w:rPr>
          <w:bCs/>
          <w:b/>
        </w:rPr>
        <w:t xml:space="preserve">GHG Protocol</w:t>
      </w:r>
      <w:r>
        <w:t xml:space="preserve">.</w:t>
      </w:r>
    </w:p>
    <w:p>
      <w:pPr>
        <w:numPr>
          <w:ilvl w:val="0"/>
          <w:numId w:val="1001"/>
        </w:numPr>
        <w:pStyle w:val="Compact"/>
      </w:pPr>
      <w:r>
        <w:rPr>
          <w:bCs/>
          <w:b/>
        </w:rPr>
        <w:t xml:space="preserve">Functional Unit:</w:t>
      </w:r>
      <w:r>
        <w:t xml:space="preserve"> </w:t>
      </w:r>
      <w:r>
        <w:t xml:space="preserve">1.0 unit of jrwtjqtwpw</w:t>
      </w:r>
    </w:p>
    <w:p>
      <w:pPr>
        <w:numPr>
          <w:ilvl w:val="0"/>
          <w:numId w:val="1001"/>
        </w:numPr>
        <w:pStyle w:val="Compact"/>
      </w:pPr>
      <w:r>
        <w:rPr>
          <w:bCs/>
          <w:b/>
        </w:rPr>
        <w:t xml:space="preserve">System Boundary:</w:t>
      </w:r>
      <w:r>
        <w:t xml:space="preserve"> </w:t>
      </w:r>
      <w:r>
        <w:t xml:space="preserve">Cradle-to-gate, with extended analysis for the use phase and end-of-life, aligned with a "factory_gate" definition for direct operational control, but encompassing upstream and downstream Scope 3 categories as required by GHG Protocol.</w:t>
      </w:r>
    </w:p>
    <w:p>
      <w:pPr>
        <w:numPr>
          <w:ilvl w:val="0"/>
          <w:numId w:val="1001"/>
        </w:numPr>
        <w:pStyle w:val="Compact"/>
      </w:pPr>
      <w:r>
        <w:rPr>
          <w:bCs/>
          <w:b/>
        </w:rPr>
        <w:t xml:space="preserve">Geographic Scope:</w:t>
      </w:r>
      <w:r>
        <w:t xml:space="preserve"> </w:t>
      </w:r>
      <w:r>
        <w:t xml:space="preserve">Final Production Country: China, with a Supply Chain Focus: Europe Focused for material sourcing and distribution.</w:t>
      </w:r>
    </w:p>
    <w:p>
      <w:pPr>
        <w:numPr>
          <w:ilvl w:val="0"/>
          <w:numId w:val="1001"/>
        </w:numPr>
        <w:pStyle w:val="Compact"/>
      </w:pPr>
      <w:r>
        <w:rPr>
          <w:bCs/>
          <w:b/>
        </w:rPr>
        <w:t xml:space="preserve">Accounting Standard:</w:t>
      </w:r>
      <w:r>
        <w:t xml:space="preserve"> </w:t>
      </w:r>
      <w:r>
        <w:t xml:space="preserve">This analysis strictly adheres to the</w:t>
      </w:r>
      <w:r>
        <w:t xml:space="preserve"> </w:t>
      </w:r>
      <w:r>
        <w:rPr>
          <w:bCs/>
          <w:b/>
        </w:rPr>
        <w:t xml:space="preserve">GHG Protocol: Product Life Cycle Accounting and Reporting Standard</w:t>
      </w:r>
      <w:r>
        <w:t xml:space="preserve">.</w:t>
      </w:r>
    </w:p>
    <w:p>
      <w:pPr>
        <w:numPr>
          <w:ilvl w:val="0"/>
          <w:numId w:val="1001"/>
        </w:numPr>
        <w:pStyle w:val="Compact"/>
      </w:pPr>
      <w:r>
        <w:rPr>
          <w:bCs/>
          <w:b/>
        </w:rPr>
        <w:t xml:space="preserve">Allocation:</w:t>
      </w:r>
      <w:r>
        <w:t xml:space="preserve"> </w:t>
      </w:r>
      <w:r>
        <w:t xml:space="preserve">Emissions are allocated directly to the functional unit based on mass and energy consumption throughout the lifecycle stages.</w:t>
      </w:r>
    </w:p>
    <w:p>
      <w:r>
        <w:pict>
          <v:rect style="width:0;height:1.5pt" o:hralign="center" o:hrstd="t" o:hr="t"/>
        </w:pict>
      </w:r>
    </w:p>
    <w:bookmarkEnd w:id="21"/>
    <w:bookmarkStart w:id="27" w:name="Xdc7d71688751a01fbfb61430bf1a99efe08331e"/>
    <w:p>
      <w:pPr>
        <w:pStyle w:val="Heading2"/>
      </w:pPr>
      <w:r>
        <w:t xml:space="preserve">2. Mapping the Lifecycle and Inventory Stages (LCI)</w:t>
      </w:r>
    </w:p>
    <w:p>
      <w:pPr>
        <w:pStyle w:val="FirstParagraph"/>
      </w:pPr>
      <w:r>
        <w:t xml:space="preserve">The lifecycle of product</w:t>
      </w:r>
      <w:r>
        <w:t xml:space="preserve"> </w:t>
      </w:r>
      <w:r>
        <w:rPr>
          <w:bCs/>
          <w:b/>
        </w:rPr>
        <w:t xml:space="preserve">jrwtjqtwpw</w:t>
      </w:r>
      <w:r>
        <w:t xml:space="preserve"> </w:t>
      </w:r>
      <w:r>
        <w:t xml:space="preserve">has been mapped into several key stages, from material extraction and processing through manufacturing, distribution, use, and end-of-life. This comprehensive approach ensures all significant emission sources are captured.</w:t>
      </w:r>
    </w:p>
    <w:bookmarkStart w:id="22" w:name="Xb9ecff2610f65b477991eedf86b6e606603689f"/>
    <w:p>
      <w:pPr>
        <w:pStyle w:val="Heading3"/>
      </w:pPr>
      <w:r>
        <w:t xml:space="preserve">Detailed Bill of Materials (BOM) - vnwyison</w:t>
      </w:r>
    </w:p>
    <w:p>
      <w:pPr>
        <w:pStyle w:val="FirstParagraph"/>
      </w:pPr>
      <w:r>
        <w:t xml:space="preserve">The following detailed Bill of Materials (BOM) for</w:t>
      </w:r>
      <w:r>
        <w:t xml:space="preserve"> </w:t>
      </w:r>
      <w:r>
        <w:rPr>
          <w:bCs/>
          <w:b/>
        </w:rPr>
        <w:t xml:space="preserve">jrwtjqtwpw</w:t>
      </w:r>
      <w:r>
        <w:t xml:space="preserve"> </w:t>
      </w:r>
      <w:r>
        <w:t xml:space="preserve">was used for high-accuracy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Steel Casing</w:t>
            </w:r>
          </w:p>
        </w:tc>
        <w:tc>
          <w:tcPr/>
          <w:p>
            <w:pPr>
              <w:pStyle w:val="Compact"/>
              <w:jc w:val="left"/>
            </w:pPr>
            <w:r>
              <w:t xml:space="preserve">Metal</w:t>
            </w:r>
          </w:p>
        </w:tc>
        <w:tc>
          <w:tcPr/>
          <w:p>
            <w:pPr>
              <w:pStyle w:val="Compact"/>
              <w:jc w:val="left"/>
            </w:pPr>
            <w:r>
              <w:t xml:space="preserve">Forming</w:t>
            </w:r>
          </w:p>
        </w:tc>
        <w:tc>
          <w:tcPr/>
          <w:p>
            <w:pPr>
              <w:pStyle w:val="Compact"/>
              <w:jc w:val="left"/>
            </w:pPr>
            <w:r>
              <w:t xml:space="preserve">1.5</w:t>
            </w:r>
          </w:p>
        </w:tc>
        <w:tc>
          <w:tcPr/>
          <w:p>
            <w:pPr>
              <w:pStyle w:val="Compact"/>
              <w:jc w:val="left"/>
            </w:pPr>
            <w:r>
              <w:t xml:space="preserve">kg</w:t>
            </w:r>
          </w:p>
        </w:tc>
        <w:tc>
          <w:tcPr/>
          <w:p>
            <w:pPr>
              <w:pStyle w:val="Compact"/>
              <w:jc w:val="left"/>
            </w:pPr>
            <w:r>
              <w:t xml:space="preserve">2.2</w:t>
            </w:r>
          </w:p>
        </w:tc>
        <w:tc>
          <w:tcPr/>
          <w:p>
            <w:pPr>
              <w:pStyle w:val="Compact"/>
              <w:jc w:val="left"/>
            </w:pPr>
            <w:r>
              <w:t xml:space="preserve">3.30</w:t>
            </w:r>
          </w:p>
        </w:tc>
      </w:tr>
      <w:tr>
        <w:tc>
          <w:tcPr/>
          <w:p>
            <w:pPr>
              <w:pStyle w:val="Compact"/>
              <w:jc w:val="left"/>
            </w:pPr>
            <w:r>
              <w:t xml:space="preserve">M002</w:t>
            </w:r>
          </w:p>
        </w:tc>
        <w:tc>
          <w:tcPr/>
          <w:p>
            <w:pPr>
              <w:pStyle w:val="Compact"/>
              <w:jc w:val="left"/>
            </w:pPr>
            <w:r>
              <w:t xml:space="preserve">ABS 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3.5</w:t>
            </w:r>
          </w:p>
        </w:tc>
        <w:tc>
          <w:tcPr/>
          <w:p>
            <w:pPr>
              <w:pStyle w:val="Compact"/>
              <w:jc w:val="left"/>
            </w:pPr>
            <w:r>
              <w:t xml:space="preserve">2.80</w:t>
            </w:r>
          </w:p>
        </w:tc>
      </w:tr>
      <w:tr>
        <w:tc>
          <w:tcPr/>
          <w:p>
            <w:pPr>
              <w:pStyle w:val="Compact"/>
              <w:jc w:val="left"/>
            </w:pPr>
            <w:r>
              <w:t xml:space="preserve">M003</w:t>
            </w:r>
          </w:p>
        </w:tc>
        <w:tc>
          <w:tcPr/>
          <w:p>
            <w:pPr>
              <w:pStyle w:val="Compact"/>
              <w:jc w:val="left"/>
            </w:pPr>
            <w:r>
              <w:t xml:space="preserve">Printed Circuit Board (PCB) Assembly</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0.3</w:t>
            </w:r>
          </w:p>
        </w:tc>
        <w:tc>
          <w:tcPr/>
          <w:p>
            <w:pPr>
              <w:pStyle w:val="Compact"/>
              <w:jc w:val="left"/>
            </w:pPr>
            <w:r>
              <w:t xml:space="preserve">kg</w:t>
            </w:r>
          </w:p>
        </w:tc>
        <w:tc>
          <w:tcPr/>
          <w:p>
            <w:pPr>
              <w:pStyle w:val="Compact"/>
              <w:jc w:val="left"/>
            </w:pPr>
            <w:r>
              <w:t xml:space="preserve">15.0</w:t>
            </w:r>
          </w:p>
        </w:tc>
        <w:tc>
          <w:tcPr/>
          <w:p>
            <w:pPr>
              <w:pStyle w:val="Compact"/>
              <w:jc w:val="left"/>
            </w:pPr>
            <w:r>
              <w:t xml:space="preserve">4.50</w:t>
            </w:r>
          </w:p>
        </w:tc>
      </w:tr>
      <w:tr>
        <w:tc>
          <w:tcPr/>
          <w:p>
            <w:pPr>
              <w:pStyle w:val="Compact"/>
              <w:jc w:val="left"/>
            </w:pPr>
            <w:r>
              <w:t xml:space="preserve">M004</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12.0</w:t>
            </w:r>
          </w:p>
        </w:tc>
        <w:tc>
          <w:tcPr/>
          <w:p>
            <w:pPr>
              <w:pStyle w:val="Compact"/>
              <w:jc w:val="left"/>
            </w:pPr>
            <w:r>
              <w:t xml:space="preserve">2.40</w:t>
            </w:r>
          </w:p>
        </w:tc>
      </w:tr>
      <w:tr>
        <w:tc>
          <w:tcPr/>
          <w:p>
            <w:pPr>
              <w:pStyle w:val="Compact"/>
              <w:jc w:val="left"/>
            </w:pPr>
            <w:r>
              <w:t xml:space="preserve">M005</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1.8</w:t>
            </w:r>
          </w:p>
        </w:tc>
        <w:tc>
          <w:tcPr/>
          <w:p>
            <w:pPr>
              <w:pStyle w:val="Compact"/>
              <w:jc w:val="left"/>
            </w:pPr>
            <w:r>
              <w:t xml:space="preserve">0.18</w:t>
            </w:r>
          </w:p>
        </w:tc>
      </w:tr>
      <w:tr>
        <w:tc>
          <w:tcPr/>
          <w:p>
            <w:pPr>
              <w:pStyle w:val="Compact"/>
              <w:jc w:val="left"/>
            </w:pPr>
            <w:r>
              <w:t xml:space="preserve">M006</w:t>
            </w:r>
          </w:p>
        </w:tc>
        <w:tc>
          <w:tcPr/>
          <w:p>
            <w:pPr>
              <w:pStyle w:val="Compact"/>
              <w:jc w:val="left"/>
            </w:pPr>
            <w:r>
              <w:t xml:space="preserve">Cardboard Packaging</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0.4</w:t>
            </w:r>
          </w:p>
        </w:tc>
        <w:tc>
          <w:tcPr/>
          <w:p>
            <w:pPr>
              <w:pStyle w:val="Compact"/>
              <w:jc w:val="left"/>
            </w:pPr>
            <w:r>
              <w:t xml:space="preserve">kg</w:t>
            </w:r>
          </w:p>
        </w:tc>
        <w:tc>
          <w:tcPr/>
          <w:p>
            <w:pPr>
              <w:pStyle w:val="Compact"/>
              <w:jc w:val="left"/>
            </w:pPr>
            <w:r>
              <w:t xml:space="preserve">0.8</w:t>
            </w:r>
          </w:p>
        </w:tc>
        <w:tc>
          <w:tcPr/>
          <w:p>
            <w:pPr>
              <w:pStyle w:val="Compact"/>
              <w:jc w:val="left"/>
            </w:pPr>
            <w:r>
              <w:t xml:space="preserve">0.32</w:t>
            </w:r>
          </w:p>
        </w:tc>
      </w:tr>
      <w:tr>
        <w:tc>
          <w:tcPr/>
          <w:p>
            <w:pPr>
              <w:pStyle w:val="Compact"/>
              <w:jc w:val="left"/>
            </w:pPr>
            <w:r>
              <w:t xml:space="preserve">M007</w:t>
            </w:r>
          </w:p>
        </w:tc>
        <w:tc>
          <w:tcPr/>
          <w:p>
            <w:pPr>
              <w:pStyle w:val="Compact"/>
              <w:jc w:val="left"/>
            </w:pPr>
            <w:r>
              <w:t xml:space="preserve">User Manual</w:t>
            </w:r>
          </w:p>
        </w:tc>
        <w:tc>
          <w:tcPr/>
          <w:p>
            <w:pPr>
              <w:pStyle w:val="Compact"/>
              <w:jc w:val="left"/>
            </w:pPr>
            <w:r>
              <w:t xml:space="preserve">Paper</w:t>
            </w:r>
          </w:p>
        </w:tc>
        <w:tc>
          <w:tcPr/>
          <w:p>
            <w:pPr>
              <w:pStyle w:val="Compact"/>
              <w:jc w:val="left"/>
            </w:pPr>
            <w:r>
              <w:t xml:space="preserve">Printing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1.2</w:t>
            </w:r>
          </w:p>
        </w:tc>
        <w:tc>
          <w:tcPr/>
          <w:p>
            <w:pPr>
              <w:pStyle w:val="Compact"/>
              <w:jc w:val="left"/>
            </w:pPr>
            <w:r>
              <w:t xml:space="preserve">0.06</w:t>
            </w:r>
          </w:p>
        </w:tc>
      </w:tr>
    </w:tbl>
    <w:p>
      <w:pPr>
        <w:pStyle w:val="BodyText"/>
      </w:pPr>
      <w:r>
        <w:rPr>
          <w:bCs/>
          <w:b/>
        </w:rPr>
        <w:t xml:space="preserve">Total Material Emissions (Upstream - Scope 3, Category 1):</w:t>
      </w:r>
      <w:r>
        <w:t xml:space="preserve"> </w:t>
      </w:r>
      <w:r>
        <w:t xml:space="preserve">13.56 kgCO2e</w:t>
      </w:r>
    </w:p>
    <w:bookmarkEnd w:id="22"/>
    <w:bookmarkStart w:id="23" w:name="energy-inputs-for-production"/>
    <w:p>
      <w:pPr>
        <w:pStyle w:val="Heading3"/>
      </w:pPr>
      <w:r>
        <w:t xml:space="preserve">Energy Inputs for Production</w:t>
      </w:r>
    </w:p>
    <w:p>
      <w:pPr>
        <w:numPr>
          <w:ilvl w:val="0"/>
          <w:numId w:val="1002"/>
        </w:numPr>
        <w:pStyle w:val="Compact"/>
      </w:pPr>
      <w:r>
        <w:rPr>
          <w:bCs/>
          <w:b/>
        </w:rPr>
        <w:t xml:space="preserve">Energy Intensity (kWh/unit):</w:t>
      </w:r>
      <w:r>
        <w:t xml:space="preserve"> </w:t>
      </w:r>
      <w:r>
        <w:t xml:space="preserve">lwuyxiuemq (50 kWh/unit)</w:t>
      </w:r>
    </w:p>
    <w:p>
      <w:pPr>
        <w:numPr>
          <w:ilvl w:val="0"/>
          <w:numId w:val="1002"/>
        </w:numPr>
        <w:pStyle w:val="Compact"/>
      </w:pPr>
      <w:r>
        <w:rPr>
          <w:bCs/>
          <w:b/>
        </w:rPr>
        <w:t xml:space="preserve">Renewable Energy Usage:</w:t>
      </w:r>
      <w:r>
        <w:t xml:space="preserve"> </w:t>
      </w:r>
      <w:r>
        <w:t xml:space="preserve">nhdktowhhn (30%)</w:t>
      </w:r>
    </w:p>
    <w:bookmarkEnd w:id="23"/>
    <w:bookmarkStart w:id="24" w:name="logistics-and-distribution"/>
    <w:p>
      <w:pPr>
        <w:pStyle w:val="Heading3"/>
      </w:pPr>
      <w:r>
        <w:t xml:space="preserve">Logistics and Distribution</w:t>
      </w:r>
    </w:p>
    <w:p>
      <w:pPr>
        <w:numPr>
          <w:ilvl w:val="0"/>
          <w:numId w:val="1003"/>
        </w:numPr>
        <w:pStyle w:val="Compact"/>
      </w:pPr>
      <w:r>
        <w:rPr>
          <w:bCs/>
          <w:b/>
        </w:rPr>
        <w:t xml:space="preserve">Transport Mode (Primary):</w:t>
      </w:r>
      <w:r>
        <w:t xml:space="preserve"> </w:t>
      </w:r>
      <w:r>
        <w:t xml:space="preserve">Select Mode (Ocean Freight)</w:t>
      </w:r>
    </w:p>
    <w:p>
      <w:pPr>
        <w:numPr>
          <w:ilvl w:val="0"/>
          <w:numId w:val="1003"/>
        </w:numPr>
        <w:pStyle w:val="Compact"/>
      </w:pPr>
      <w:r>
        <w:rPr>
          <w:bCs/>
          <w:b/>
        </w:rPr>
        <w:t xml:space="preserve">Transport Distance (Ocean):</w:t>
      </w:r>
      <w:r>
        <w:t xml:space="preserve"> </w:t>
      </w:r>
      <w:r>
        <w:t xml:space="preserve">iosqvwnntp (15,000 km)</w:t>
      </w:r>
    </w:p>
    <w:p>
      <w:pPr>
        <w:numPr>
          <w:ilvl w:val="0"/>
          <w:numId w:val="1003"/>
        </w:numPr>
        <w:pStyle w:val="Compact"/>
      </w:pPr>
      <w:r>
        <w:rPr>
          <w:bCs/>
          <w:b/>
        </w:rPr>
        <w:t xml:space="preserve">Transport Mode (Secondary):</w:t>
      </w:r>
      <w:r>
        <w:t xml:space="preserve"> </w:t>
      </w:r>
      <w:r>
        <w:t xml:space="preserve">Road Freight (within Europe)</w:t>
      </w:r>
    </w:p>
    <w:p>
      <w:pPr>
        <w:numPr>
          <w:ilvl w:val="0"/>
          <w:numId w:val="1003"/>
        </w:numPr>
        <w:pStyle w:val="Compact"/>
      </w:pPr>
      <w:r>
        <w:rPr>
          <w:bCs/>
          <w:b/>
        </w:rPr>
        <w:t xml:space="preserve">Transport Distance (Road):</w:t>
      </w:r>
      <w:r>
        <w:t xml:space="preserve"> </w:t>
      </w:r>
      <w:r>
        <w:t xml:space="preserve">iosqvwnntp (800 km)</w:t>
      </w:r>
    </w:p>
    <w:p>
      <w:pPr>
        <w:numPr>
          <w:ilvl w:val="0"/>
          <w:numId w:val="1003"/>
        </w:numPr>
        <w:pStyle w:val="Compact"/>
      </w:pPr>
      <w:r>
        <w:rPr>
          <w:bCs/>
          <w:b/>
        </w:rPr>
        <w:t xml:space="preserve">Last-Mile Delivery Channel:</w:t>
      </w:r>
      <w:r>
        <w:t xml:space="preserve"> </w:t>
      </w:r>
      <w:r>
        <w:t xml:space="preserve">Delivery Type (Small Parcel Service)</w:t>
      </w:r>
    </w:p>
    <w:p>
      <w:pPr>
        <w:numPr>
          <w:ilvl w:val="0"/>
          <w:numId w:val="1003"/>
        </w:numPr>
        <w:pStyle w:val="Compact"/>
      </w:pPr>
      <w:r>
        <w:rPr>
          <w:bCs/>
          <w:b/>
        </w:rPr>
        <w:t xml:space="preserve">Last-Mile Distance (Average):</w:t>
      </w:r>
      <w:r>
        <w:t xml:space="preserve"> </w:t>
      </w:r>
      <w:r>
        <w:t xml:space="preserve">200 km</w:t>
      </w:r>
    </w:p>
    <w:bookmarkEnd w:id="24"/>
    <w:bookmarkStart w:id="25" w:name="product-use-phase"/>
    <w:p>
      <w:pPr>
        <w:pStyle w:val="Heading3"/>
      </w:pPr>
      <w:r>
        <w:t xml:space="preserve">Product Use Phase</w:t>
      </w:r>
    </w:p>
    <w:p>
      <w:pPr>
        <w:numPr>
          <w:ilvl w:val="0"/>
          <w:numId w:val="1004"/>
        </w:numPr>
        <w:pStyle w:val="Compact"/>
      </w:pPr>
      <w:r>
        <w:rPr>
          <w:bCs/>
          <w:b/>
        </w:rPr>
        <w:t xml:space="preserve">Product Lifespan:</w:t>
      </w:r>
      <w:r>
        <w:t xml:space="preserve"> </w:t>
      </w:r>
      <w:r>
        <w:t xml:space="preserve">przfidjgqd (5 years)</w:t>
      </w:r>
    </w:p>
    <w:p>
      <w:pPr>
        <w:numPr>
          <w:ilvl w:val="0"/>
          <w:numId w:val="1004"/>
        </w:numPr>
        <w:pStyle w:val="Compact"/>
      </w:pPr>
      <w:r>
        <w:rPr>
          <w:bCs/>
          <w:b/>
        </w:rPr>
        <w:t xml:space="preserve">Energy Consumption in Use:</w:t>
      </w:r>
      <w:r>
        <w:t xml:space="preserve"> </w:t>
      </w:r>
      <w:r>
        <w:t xml:space="preserve">rtohdfdreg (10 kWh/year)</w:t>
      </w:r>
    </w:p>
    <w:bookmarkEnd w:id="25"/>
    <w:bookmarkStart w:id="26" w:name="end-of-life-eol-scenarios"/>
    <w:p>
      <w:pPr>
        <w:pStyle w:val="Heading3"/>
      </w:pPr>
      <w:r>
        <w:t xml:space="preserve">End-of-Life (EoL) Scenarios</w:t>
      </w:r>
    </w:p>
    <w:p>
      <w:pPr>
        <w:numPr>
          <w:ilvl w:val="0"/>
          <w:numId w:val="1005"/>
        </w:numPr>
        <w:pStyle w:val="Compact"/>
      </w:pPr>
      <w:r>
        <w:rPr>
          <w:bCs/>
          <w:b/>
        </w:rPr>
        <w:t xml:space="preserve">Recyclability Percentage:</w:t>
      </w:r>
      <w:r>
        <w:t xml:space="preserve"> </w:t>
      </w:r>
      <w:r>
        <w:t xml:space="preserve">oyssmjihok (70%)</w:t>
      </w:r>
    </w:p>
    <w:p>
      <w:pPr>
        <w:numPr>
          <w:ilvl w:val="0"/>
          <w:numId w:val="1005"/>
        </w:numPr>
        <w:pStyle w:val="Compact"/>
      </w:pPr>
      <w:r>
        <w:rPr>
          <w:bCs/>
          <w:b/>
        </w:rPr>
        <w:t xml:space="preserve">Circular/Take-back Programs:</w:t>
      </w:r>
      <w:r>
        <w:t xml:space="preserve"> </w:t>
      </w:r>
      <w:r>
        <w:t xml:space="preserve">lijpwsluji (Yes, established take-back program)</w:t>
      </w:r>
    </w:p>
    <w:p>
      <w:r>
        <w:pict>
          <v:rect style="width:0;height:1.5pt" o:hralign="center" o:hrstd="t" o:hr="t"/>
        </w:pict>
      </w:r>
    </w:p>
    <w:bookmarkEnd w:id="26"/>
    <w:bookmarkEnd w:id="27"/>
    <w:bookmarkStart w:id="29" w:name="X7b6d01ce7b6bfe45f00681616505557cddf238f"/>
    <w:p>
      <w:pPr>
        <w:pStyle w:val="Heading2"/>
      </w:pPr>
      <w:r>
        <w:t xml:space="preserve">3. Data Collection (Primary/Secondary Data Points)</w:t>
      </w:r>
    </w:p>
    <w:p>
      <w:pPr>
        <w:pStyle w:val="FirstParagraph"/>
      </w:pPr>
      <w:r>
        <w:t xml:space="preserve">Data was collected from various sources, prioritizing primary data where available and supplementing with robust secondary data from industry-standard databases like Ecoinvent and DEFRA for emission factors (EFs).</w:t>
      </w:r>
    </w:p>
    <w:bookmarkStart w:id="28" w:name="emission-factors-used"/>
    <w:p>
      <w:pPr>
        <w:pStyle w:val="Heading3"/>
      </w:pPr>
      <w:r>
        <w:t xml:space="preserve">Emission Factors Used</w:t>
      </w:r>
    </w:p>
    <w:p>
      <w:pPr>
        <w:numPr>
          <w:ilvl w:val="0"/>
          <w:numId w:val="1006"/>
        </w:numPr>
        <w:pStyle w:val="Compact"/>
      </w:pPr>
      <w:r>
        <w:rPr>
          <w:bCs/>
          <w:b/>
        </w:rPr>
        <w:t xml:space="preserve">Electricity Grid (China):</w:t>
      </w:r>
      <w:r>
        <w:t xml:space="preserve"> </w:t>
      </w:r>
      <w:r>
        <w:t xml:space="preserve">0.556 kgCO2e/kWh</w:t>
      </w:r>
    </w:p>
    <w:p>
      <w:pPr>
        <w:numPr>
          <w:ilvl w:val="0"/>
          <w:numId w:val="1006"/>
        </w:numPr>
        <w:pStyle w:val="Compact"/>
      </w:pPr>
      <w:r>
        <w:rPr>
          <w:bCs/>
          <w:b/>
        </w:rPr>
        <w:t xml:space="preserve">Renewable Energy (Residual):</w:t>
      </w:r>
      <w:r>
        <w:t xml:space="preserve"> </w:t>
      </w:r>
      <w:r>
        <w:t xml:space="preserve">0.05 kgCO2e/kWh (generic low-carbon electricity)</w:t>
      </w:r>
    </w:p>
    <w:p>
      <w:pPr>
        <w:numPr>
          <w:ilvl w:val="0"/>
          <w:numId w:val="1006"/>
        </w:numPr>
        <w:pStyle w:val="Compact"/>
      </w:pPr>
      <w:r>
        <w:rPr>
          <w:bCs/>
          <w:b/>
        </w:rPr>
        <w:t xml:space="preserve">Ocean Freight (Container Ship):</w:t>
      </w:r>
      <w:r>
        <w:t xml:space="preserve"> </w:t>
      </w:r>
      <w:r>
        <w:t xml:space="preserve">0.01 kgCO2e/tonne-km</w:t>
      </w:r>
    </w:p>
    <w:p>
      <w:pPr>
        <w:numPr>
          <w:ilvl w:val="0"/>
          <w:numId w:val="1006"/>
        </w:numPr>
        <w:pStyle w:val="Compact"/>
      </w:pPr>
      <w:r>
        <w:rPr>
          <w:bCs/>
          <w:b/>
        </w:rPr>
        <w:t xml:space="preserve">Road Freight (HGV &gt; 17t, Europe):</w:t>
      </w:r>
      <w:r>
        <w:t xml:space="preserve"> </w:t>
      </w:r>
      <w:r>
        <w:t xml:space="preserve">0.09 kgCO2e/tonne-km</w:t>
      </w:r>
    </w:p>
    <w:p>
      <w:pPr>
        <w:numPr>
          <w:ilvl w:val="0"/>
          <w:numId w:val="1006"/>
        </w:numPr>
        <w:pStyle w:val="Compact"/>
      </w:pPr>
      <w:r>
        <w:rPr>
          <w:bCs/>
          <w:b/>
        </w:rPr>
        <w:t xml:space="preserve">Small Parcel Service (Van, per kg-km):</w:t>
      </w:r>
      <w:r>
        <w:t xml:space="preserve"> </w:t>
      </w:r>
      <w:r>
        <w:t xml:space="preserve">0.036 kgCO2e/kg-km (derived from DEFRA, assuming a 5kg package for calculations)</w:t>
      </w:r>
    </w:p>
    <w:p>
      <w:pPr>
        <w:numPr>
          <w:ilvl w:val="0"/>
          <w:numId w:val="1006"/>
        </w:numPr>
        <w:pStyle w:val="Compact"/>
      </w:pPr>
      <w:r>
        <w:rPr>
          <w:bCs/>
          <w:b/>
        </w:rPr>
        <w:t xml:space="preserve">End-of-Life Landfill:</w:t>
      </w:r>
      <w:r>
        <w:t xml:space="preserve"> </w:t>
      </w:r>
      <w:r>
        <w:t xml:space="preserve">1.5 kgCO2e/kg (generic for mixed waste disposal)</w:t>
      </w:r>
    </w:p>
    <w:p>
      <w:pPr>
        <w:numPr>
          <w:ilvl w:val="0"/>
          <w:numId w:val="1006"/>
        </w:numPr>
        <w:pStyle w:val="Compact"/>
      </w:pPr>
      <w:r>
        <w:rPr>
          <w:bCs/>
          <w:b/>
        </w:rPr>
        <w:t xml:space="preserve">End-of-Life Recycling Credit:</w:t>
      </w:r>
      <w:r>
        <w:t xml:space="preserve"> </w:t>
      </w:r>
      <w:r>
        <w:t xml:space="preserve">-1.0 kgCO2e/kg (credit for avoided virgin material production)</w:t>
      </w:r>
    </w:p>
    <w:p>
      <w:pPr>
        <w:numPr>
          <w:ilvl w:val="0"/>
          <w:numId w:val="1006"/>
        </w:numPr>
        <w:pStyle w:val="Compact"/>
      </w:pPr>
      <w:r>
        <w:rPr>
          <w:bCs/>
          <w:b/>
        </w:rPr>
        <w:t xml:space="preserve">Material-specific Emission Factors:</w:t>
      </w:r>
      <w:r>
        <w:t xml:space="preserve"> </w:t>
      </w:r>
      <w:r>
        <w:t xml:space="preserve">As listed in the BOM table above, derived from Ecoinvent-like datasets.</w:t>
      </w:r>
    </w:p>
    <w:p>
      <w:r>
        <w:pict>
          <v:rect style="width:0;height:1.5pt" o:hralign="center" o:hrstd="t" o:hr="t"/>
        </w:pict>
      </w:r>
    </w:p>
    <w:bookmarkEnd w:id="28"/>
    <w:bookmarkEnd w:id="29"/>
    <w:bookmarkStart w:id="40" w:name="X3720d7d0541b3a6e3c473bd4daa188ddb828856"/>
    <w:p>
      <w:pPr>
        <w:pStyle w:val="Heading2"/>
      </w:pPr>
      <w:r>
        <w:t xml:space="preserve">4. Calculating Emissions (Activity * Emission Factor = CO2e)</w:t>
      </w:r>
    </w:p>
    <w:p>
      <w:pPr>
        <w:pStyle w:val="FirstParagraph"/>
      </w:pPr>
      <w:r>
        <w:t xml:space="preserve">Emissions are categorized into Scope 1 (direct emissions from owned or controlled sources), Scope 2 (indirect emissions from the generation of purchased energy), and Scope 3 (all other indirect emissions that occur in the value chain).</w:t>
      </w:r>
    </w:p>
    <w:bookmarkStart w:id="30" w:name="scope-1-direct-emissions"/>
    <w:p>
      <w:pPr>
        <w:pStyle w:val="Heading3"/>
      </w:pPr>
      <w:r>
        <w:t xml:space="preserve">Scope 1: Direct Emissions</w:t>
      </w:r>
    </w:p>
    <w:p>
      <w:pPr>
        <w:pStyle w:val="FirstParagraph"/>
      </w:pPr>
      <w:r>
        <w:t xml:space="preserve">For the manufacturing of</w:t>
      </w:r>
      <w:r>
        <w:t xml:space="preserve"> </w:t>
      </w:r>
      <w:r>
        <w:rPr>
          <w:bCs/>
          <w:b/>
        </w:rPr>
        <w:t xml:space="preserve">jrwtjqtwpw</w:t>
      </w:r>
      <w:r>
        <w:t xml:space="preserve">, direct emissions (e.g., from on-site fuel combustion) are considered negligible given the factory_gate system boundary and the nature of product assembly, or are included in the Scope 2 energy calculations. Therefore, Scope 1 emissions for this product are assumed to be 0.00 kgCO2e.</w:t>
      </w:r>
    </w:p>
    <w:bookmarkEnd w:id="30"/>
    <w:bookmarkStart w:id="31" w:name="X158095f9350ac49aa5904e2590d8a9baedd908f"/>
    <w:p>
      <w:pPr>
        <w:pStyle w:val="Heading3"/>
      </w:pPr>
      <w:r>
        <w:t xml:space="preserve">Scope 2: Purchased Energy Emissions (Production Phase)</w:t>
      </w:r>
    </w:p>
    <w:p>
      <w:pPr>
        <w:pStyle w:val="FirstParagraph"/>
      </w:pPr>
      <w:r>
        <w:t xml:space="preserve">The calculation for purchased electricity during the production of</w:t>
      </w:r>
      <w:r>
        <w:t xml:space="preserve"> </w:t>
      </w:r>
      <w:r>
        <w:rPr>
          <w:bCs/>
          <w:b/>
        </w:rPr>
        <w:t xml:space="preserve">jrwtjqtwpw</w:t>
      </w:r>
      <w:r>
        <w:t xml:space="preserve"> </w:t>
      </w:r>
      <w:r>
        <w:t xml:space="preserve">is based on the provided energy intensity and renewable energy usage:</w:t>
      </w:r>
    </w:p>
    <w:p>
      <w:pPr>
        <w:numPr>
          <w:ilvl w:val="0"/>
          <w:numId w:val="1007"/>
        </w:numPr>
        <w:pStyle w:val="Compact"/>
      </w:pPr>
      <w:r>
        <w:t xml:space="preserve">Total Energy Consumption: 50 kWh/unit</w:t>
      </w:r>
    </w:p>
    <w:p>
      <w:pPr>
        <w:numPr>
          <w:ilvl w:val="0"/>
          <w:numId w:val="1007"/>
        </w:numPr>
        <w:pStyle w:val="Compact"/>
      </w:pPr>
      <w:r>
        <w:t xml:space="preserve">Renewable Energy Usage: 30%</w:t>
      </w:r>
    </w:p>
    <w:p>
      <w:pPr>
        <w:numPr>
          <w:ilvl w:val="0"/>
          <w:numId w:val="1007"/>
        </w:numPr>
        <w:pStyle w:val="Compact"/>
      </w:pPr>
      <w:r>
        <w:t xml:space="preserve">Non-renewable Electricity: 50 kWh * (1 - 0.30) = 35 kWh</w:t>
      </w:r>
    </w:p>
    <w:p>
      <w:pPr>
        <w:numPr>
          <w:ilvl w:val="0"/>
          <w:numId w:val="1007"/>
        </w:numPr>
        <w:pStyle w:val="Compact"/>
      </w:pPr>
      <w:r>
        <w:t xml:space="preserve">Renewable Electricity: 50 kWh * 0.30 = 15 kWh</w:t>
      </w:r>
    </w:p>
    <w:p>
      <w:pPr>
        <w:numPr>
          <w:ilvl w:val="0"/>
          <w:numId w:val="1007"/>
        </w:numPr>
        <w:pStyle w:val="Compact"/>
      </w:pPr>
      <w:r>
        <w:t xml:space="preserve">Emissions from Non-renewable Electricity: 35 kWh * 0.556 kgCO2e/kWh = 19.46 kgCO2e</w:t>
      </w:r>
    </w:p>
    <w:p>
      <w:pPr>
        <w:numPr>
          <w:ilvl w:val="0"/>
          <w:numId w:val="1007"/>
        </w:numPr>
        <w:pStyle w:val="Compact"/>
      </w:pPr>
      <w:r>
        <w:t xml:space="preserve">Emissions from Renewable Electricity: 15 kWh * 0.05 kgCO2e/kWh = 0.75 kgCO2e (accounting for residual emissions)</w:t>
      </w:r>
    </w:p>
    <w:p>
      <w:pPr>
        <w:pStyle w:val="FirstParagraph"/>
      </w:pPr>
      <w:r>
        <w:rPr>
          <w:bCs/>
          <w:b/>
        </w:rPr>
        <w:t xml:space="preserve">Total Scope 2 Emissions:</w:t>
      </w:r>
      <w:r>
        <w:t xml:space="preserve"> </w:t>
      </w:r>
      <w:r>
        <w:t xml:space="preserve">19.46 kgCO2e + 0.75 kgCO2e = 20.21 kgCO2e</w:t>
      </w:r>
    </w:p>
    <w:bookmarkEnd w:id="31"/>
    <w:bookmarkStart w:id="36" w:name="scope-3-value-chain-emissions"/>
    <w:p>
      <w:pPr>
        <w:pStyle w:val="Heading3"/>
      </w:pPr>
      <w:r>
        <w:t xml:space="preserve">Scope 3: Value Chain Emissions</w:t>
      </w:r>
    </w:p>
    <w:bookmarkStart w:id="32" w:name="X4cd367dccf91015af10943c284ca2ee0f790f7d"/>
    <w:p>
      <w:pPr>
        <w:pStyle w:val="Heading4"/>
      </w:pPr>
      <w:r>
        <w:t xml:space="preserve">Scope 3, Category 1: Upstream Emissions - Purchased Goods and Services (Materials)</w:t>
      </w:r>
    </w:p>
    <w:p>
      <w:pPr>
        <w:pStyle w:val="FirstParagraph"/>
      </w:pPr>
      <w:r>
        <w:t xml:space="preserve">Based on the Detailed Bill of Materials (BOM) provided in Section 2:</w:t>
      </w:r>
    </w:p>
    <w:p>
      <w:pPr>
        <w:pStyle w:val="BodyText"/>
      </w:pPr>
      <w:r>
        <w:rPr>
          <w:bCs/>
          <w:b/>
        </w:rPr>
        <w:t xml:space="preserve">Total Upstream Material Emissions:</w:t>
      </w:r>
      <w:r>
        <w:t xml:space="preserve"> </w:t>
      </w:r>
      <w:r>
        <w:t xml:space="preserve">13.56 kgCO2e</w:t>
      </w:r>
    </w:p>
    <w:bookmarkEnd w:id="32"/>
    <w:bookmarkStart w:id="33" w:name="X2daff23e64d00264d1584c7735b64787c38d165"/>
    <w:p>
      <w:pPr>
        <w:pStyle w:val="Heading4"/>
      </w:pPr>
      <w:r>
        <w:t xml:space="preserve">Scope 3, Category 4: Upstream Emissions - Transportation and Distribution</w:t>
      </w:r>
    </w:p>
    <w:p>
      <w:pPr>
        <w:pStyle w:val="FirstParagraph"/>
      </w:pPr>
      <w:r>
        <w:t xml:space="preserve">Assuming a total product weight (including packaging) of approximately 3.37 kg (sum of BOM quantities).</w:t>
      </w:r>
    </w:p>
    <w:p>
      <w:pPr>
        <w:numPr>
          <w:ilvl w:val="0"/>
          <w:numId w:val="1008"/>
        </w:numPr>
        <w:pStyle w:val="Compact"/>
      </w:pPr>
      <w:r>
        <w:rPr>
          <w:bCs/>
          <w:b/>
        </w:rPr>
        <w:t xml:space="preserve">Ocean Freight (China to Europe):</w:t>
      </w:r>
      <w:r>
        <w:t xml:space="preserve"> </w:t>
      </w:r>
      <w:r>
        <w:t xml:space="preserve">3.37 kg * 15,000 km * 0.01 kgCO2e/tonne-km = 0.5055 kgCO2e (converted to kg-km: 3.37 kg * 15,000 km * 0.00001 kgCO2e/kg-km)</w:t>
      </w:r>
    </w:p>
    <w:p>
      <w:pPr>
        <w:numPr>
          <w:ilvl w:val="0"/>
          <w:numId w:val="1008"/>
        </w:numPr>
        <w:pStyle w:val="Compact"/>
      </w:pPr>
      <w:r>
        <w:rPr>
          <w:bCs/>
          <w:b/>
        </w:rPr>
        <w:t xml:space="preserve">Road Freight (European Distribution):</w:t>
      </w:r>
      <w:r>
        <w:t xml:space="preserve"> </w:t>
      </w:r>
      <w:r>
        <w:t xml:space="preserve">3.37 kg * 800 km * 0.09 kgCO2e/tonne-km = 0.2426 kgCO2e (converted to kg-km: 3.37 kg * 800 km * 0.00009 kgCO2e/kg-km)</w:t>
      </w:r>
    </w:p>
    <w:p>
      <w:pPr>
        <w:numPr>
          <w:ilvl w:val="0"/>
          <w:numId w:val="1008"/>
        </w:numPr>
        <w:pStyle w:val="Compact"/>
      </w:pPr>
      <w:r>
        <w:rPr>
          <w:bCs/>
          <w:b/>
        </w:rPr>
        <w:t xml:space="preserve">Last-Mile Delivery (Small Parcel Service):</w:t>
      </w:r>
      <w:r>
        <w:t xml:space="preserve"> </w:t>
      </w:r>
      <w:r>
        <w:t xml:space="preserve">3.37 kg * 200 km * 0.036 kgCO2e/kg-km = 24.26 kgCO2e</w:t>
      </w:r>
    </w:p>
    <w:p>
      <w:pPr>
        <w:pStyle w:val="FirstParagraph"/>
      </w:pPr>
      <w:r>
        <w:rPr>
          <w:bCs/>
          <w:b/>
        </w:rPr>
        <w:t xml:space="preserve">Total Upstream &amp; Downstream Transport Emissions:</w:t>
      </w:r>
      <w:r>
        <w:t xml:space="preserve"> </w:t>
      </w:r>
      <w:r>
        <w:t xml:space="preserve">0.5055 + 0.2426 + 24.26 = 25.01 kgCO2e</w:t>
      </w:r>
    </w:p>
    <w:p>
      <w:pPr>
        <w:pStyle w:val="BodyText"/>
      </w:pPr>
      <w:r>
        <w:rPr>
          <w:iCs/>
          <w:i/>
        </w:rPr>
        <w:t xml:space="preserve">Note: The relatively high last-mile delivery emissions indicate a potential hotspot due to the lower efficiency of small parcel services compared to bulk freight.</w:t>
      </w:r>
    </w:p>
    <w:bookmarkEnd w:id="33"/>
    <w:bookmarkStart w:id="34" w:name="X3ed4a2d22debdb0ba0abce3821d9dc48932bce3"/>
    <w:p>
      <w:pPr>
        <w:pStyle w:val="Heading4"/>
      </w:pPr>
      <w:r>
        <w:t xml:space="preserve">Scope 3, Category 11: Downstream Emissions - Use of Sold Products</w:t>
      </w:r>
    </w:p>
    <w:p>
      <w:pPr>
        <w:pStyle w:val="FirstParagraph"/>
      </w:pPr>
      <w:r>
        <w:t xml:space="preserve">The use phase emissions are calculated over the product\'s lifespan:</w:t>
      </w:r>
    </w:p>
    <w:p>
      <w:pPr>
        <w:numPr>
          <w:ilvl w:val="0"/>
          <w:numId w:val="1009"/>
        </w:numPr>
        <w:pStyle w:val="Compact"/>
      </w:pPr>
      <w:r>
        <w:t xml:space="preserve">Product Lifespan: 5 years</w:t>
      </w:r>
    </w:p>
    <w:p>
      <w:pPr>
        <w:numPr>
          <w:ilvl w:val="0"/>
          <w:numId w:val="1009"/>
        </w:numPr>
        <w:pStyle w:val="Compact"/>
      </w:pPr>
      <w:r>
        <w:t xml:space="preserve">Annual Energy Consumption: 10 kWh/year</w:t>
      </w:r>
    </w:p>
    <w:p>
      <w:pPr>
        <w:numPr>
          <w:ilvl w:val="0"/>
          <w:numId w:val="1009"/>
        </w:numPr>
        <w:pStyle w:val="Compact"/>
      </w:pPr>
      <w:r>
        <w:t xml:space="preserve">Total Energy Consumption over Lifespan: 10 kWh/year * 5 years = 50 kWh</w:t>
      </w:r>
    </w:p>
    <w:p>
      <w:pPr>
        <w:numPr>
          <w:ilvl w:val="0"/>
          <w:numId w:val="1009"/>
        </w:numPr>
        <w:pStyle w:val="Compact"/>
      </w:pPr>
      <w:r>
        <w:t xml:space="preserve">Emissions from Use Phase: 50 kWh * 0.5 kgCO2e/kWh (generic user-country grid factor) = 25.00 kgCO2e</w:t>
      </w:r>
    </w:p>
    <w:p>
      <w:pPr>
        <w:pStyle w:val="FirstParagraph"/>
      </w:pPr>
      <w:r>
        <w:rPr>
          <w:bCs/>
          <w:b/>
        </w:rPr>
        <w:t xml:space="preserve">Total Use Phase Emissions:</w:t>
      </w:r>
      <w:r>
        <w:t xml:space="preserve"> </w:t>
      </w:r>
      <w:r>
        <w:t xml:space="preserve">25.00 kgCO2e</w:t>
      </w:r>
    </w:p>
    <w:bookmarkEnd w:id="34"/>
    <w:bookmarkStart w:id="35" w:name="Xc800353866727ba82e0c24612d157e323635090"/>
    <w:p>
      <w:pPr>
        <w:pStyle w:val="Heading4"/>
      </w:pPr>
      <w:r>
        <w:t xml:space="preserve">Scope 3, Category 12: Downstream Emissions - End-of-Life Treatment of Sold Products</w:t>
      </w:r>
    </w:p>
    <w:p>
      <w:pPr>
        <w:pStyle w:val="FirstParagraph"/>
      </w:pPr>
      <w:r>
        <w:t xml:space="preserve">Considering the product\'s total weight (approx. 3.37 kg) and recyclability percentage:</w:t>
      </w:r>
    </w:p>
    <w:p>
      <w:pPr>
        <w:numPr>
          <w:ilvl w:val="0"/>
          <w:numId w:val="1010"/>
        </w:numPr>
        <w:pStyle w:val="Compact"/>
      </w:pPr>
      <w:r>
        <w:t xml:space="preserve">Recycled Portion: 3.37 kg * 70% = 2.36 kg</w:t>
      </w:r>
    </w:p>
    <w:p>
      <w:pPr>
        <w:numPr>
          <w:ilvl w:val="0"/>
          <w:numId w:val="1010"/>
        </w:numPr>
        <w:pStyle w:val="Compact"/>
      </w:pPr>
      <w:r>
        <w:t xml:space="preserve">Disposed Portion (Landfill): 3.37 kg * (1 - 70%) = 1.01 kg</w:t>
      </w:r>
    </w:p>
    <w:p>
      <w:pPr>
        <w:numPr>
          <w:ilvl w:val="0"/>
          <w:numId w:val="1010"/>
        </w:numPr>
        <w:pStyle w:val="Compact"/>
      </w:pPr>
      <w:r>
        <w:t xml:space="preserve">Emissions from Landfill: 1.01 kg * 1.5 kgCO2e/kg = 1.52 kgCO2e</w:t>
      </w:r>
    </w:p>
    <w:p>
      <w:pPr>
        <w:numPr>
          <w:ilvl w:val="0"/>
          <w:numId w:val="1010"/>
        </w:numPr>
        <w:pStyle w:val="Compact"/>
      </w:pPr>
      <w:r>
        <w:t xml:space="preserve">Recycling Credit: 2.36 kg * (-1.0 kgCO2e/kg) = -2.36 kgCO2e</w:t>
      </w:r>
    </w:p>
    <w:p>
      <w:pPr>
        <w:pStyle w:val="FirstParagraph"/>
      </w:pPr>
      <w:r>
        <w:rPr>
          <w:bCs/>
          <w:b/>
        </w:rPr>
        <w:t xml:space="preserve">Total End-of-Life Emissions:</w:t>
      </w:r>
      <w:r>
        <w:t xml:space="preserve"> </w:t>
      </w:r>
      <w:r>
        <w:t xml:space="preserve">1.52 kgCO2e + (-2.36 kgCO2e) = -0.84 kgCO2e</w:t>
      </w:r>
    </w:p>
    <w:p>
      <w:pPr>
        <w:pStyle w:val="BodyText"/>
      </w:pPr>
      <w:r>
        <w:rPr>
          <w:iCs/>
          <w:i/>
        </w:rPr>
        <w:t xml:space="preserve">Note: The negative value indicates a net carbon benefit due to the high recyclability and established circular economy programs.</w:t>
      </w:r>
    </w:p>
    <w:bookmarkEnd w:id="35"/>
    <w:bookmarkEnd w:id="36"/>
    <w:bookmarkStart w:id="37" w:name="summary-of-emissions-by-scope"/>
    <w:p>
      <w:pPr>
        <w:pStyle w:val="Heading3"/>
      </w:pPr>
      <w:r>
        <w:t xml:space="preserve">Summary of Emissions by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 Category</w:t>
            </w:r>
          </w:p>
        </w:tc>
        <w:tc>
          <w:tcPr/>
          <w:p>
            <w:pPr>
              <w:pStyle w:val="Compact"/>
              <w:jc w:val="left"/>
            </w:pPr>
            <w:r>
              <w:t xml:space="preserve">Description</w:t>
            </w:r>
          </w:p>
        </w:tc>
        <w:tc>
          <w:tcPr/>
          <w:p>
            <w:pPr>
              <w:pStyle w:val="Compact"/>
              <w:jc w:val="left"/>
            </w:pPr>
            <w:r>
              <w:t xml:space="preserve">Total CO2e (kg)</w:t>
            </w:r>
          </w:p>
        </w:tc>
      </w:tr>
      <w:tr>
        <w:tc>
          <w:tcPr/>
          <w:p>
            <w:pPr>
              <w:pStyle w:val="Compact"/>
              <w:jc w:val="left"/>
            </w:pPr>
            <w:r>
              <w:t xml:space="preserve">Scope 1</w:t>
            </w:r>
          </w:p>
        </w:tc>
        <w:tc>
          <w:tcPr/>
          <w:p>
            <w:pPr>
              <w:pStyle w:val="Compact"/>
              <w:jc w:val="left"/>
            </w:pPr>
            <w:r>
              <w:t xml:space="preserve">Direct Emissions (from operations)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Energy (Production)</w:t>
            </w:r>
          </w:p>
        </w:tc>
        <w:tc>
          <w:tcPr/>
          <w:p>
            <w:pPr>
              <w:pStyle w:val="Compact"/>
              <w:jc w:val="left"/>
            </w:pPr>
            <w:r>
              <w:t xml:space="preserve">20.21</w:t>
            </w:r>
          </w:p>
        </w:tc>
      </w:tr>
      <w:tr>
        <w:tc>
          <w:tcPr/>
          <w:p>
            <w:pPr>
              <w:pStyle w:val="Compact"/>
              <w:jc w:val="left"/>
            </w:pPr>
            <w:r>
              <w:t xml:space="preserve">Scope 3, Category 1</w:t>
            </w:r>
          </w:p>
        </w:tc>
        <w:tc>
          <w:tcPr/>
          <w:p>
            <w:pPr>
              <w:pStyle w:val="Compact"/>
              <w:jc w:val="left"/>
            </w:pPr>
            <w:r>
              <w:t xml:space="preserve">Purchased Goods &amp; Services (Materials)</w:t>
            </w:r>
          </w:p>
        </w:tc>
        <w:tc>
          <w:tcPr/>
          <w:p>
            <w:pPr>
              <w:pStyle w:val="Compact"/>
              <w:jc w:val="left"/>
            </w:pPr>
            <w:r>
              <w:t xml:space="preserve">13.56</w:t>
            </w:r>
          </w:p>
        </w:tc>
      </w:tr>
      <w:tr>
        <w:tc>
          <w:tcPr/>
          <w:p>
            <w:pPr>
              <w:pStyle w:val="Compact"/>
              <w:jc w:val="left"/>
            </w:pPr>
            <w:r>
              <w:t xml:space="preserve">Scope 3, Category 4</w:t>
            </w:r>
          </w:p>
        </w:tc>
        <w:tc>
          <w:tcPr/>
          <w:p>
            <w:pPr>
              <w:pStyle w:val="Compact"/>
              <w:jc w:val="left"/>
            </w:pPr>
            <w:r>
              <w:t xml:space="preserve">Transportation &amp; Distribution (Upstream &amp; Downstream)</w:t>
            </w:r>
          </w:p>
        </w:tc>
        <w:tc>
          <w:tcPr/>
          <w:p>
            <w:pPr>
              <w:pStyle w:val="Compact"/>
              <w:jc w:val="left"/>
            </w:pPr>
            <w:r>
              <w:t xml:space="preserve">25.01</w:t>
            </w:r>
          </w:p>
        </w:tc>
      </w:tr>
      <w:tr>
        <w:tc>
          <w:tcPr/>
          <w:p>
            <w:pPr>
              <w:pStyle w:val="Compact"/>
              <w:jc w:val="left"/>
            </w:pPr>
            <w:r>
              <w:t xml:space="preserve">Scope 3, Category 11</w:t>
            </w:r>
          </w:p>
        </w:tc>
        <w:tc>
          <w:tcPr/>
          <w:p>
            <w:pPr>
              <w:pStyle w:val="Compact"/>
              <w:jc w:val="left"/>
            </w:pPr>
            <w:r>
              <w:t xml:space="preserve">Use of Sold Products</w:t>
            </w:r>
          </w:p>
        </w:tc>
        <w:tc>
          <w:tcPr/>
          <w:p>
            <w:pPr>
              <w:pStyle w:val="Compact"/>
              <w:jc w:val="left"/>
            </w:pPr>
            <w:r>
              <w:t xml:space="preserve">25.00</w:t>
            </w:r>
          </w:p>
        </w:tc>
      </w:tr>
      <w:tr>
        <w:tc>
          <w:tcPr/>
          <w:p>
            <w:pPr>
              <w:pStyle w:val="Compact"/>
              <w:jc w:val="left"/>
            </w:pPr>
            <w:r>
              <w:t xml:space="preserve">Scope 3, Category 12</w:t>
            </w:r>
          </w:p>
        </w:tc>
        <w:tc>
          <w:tcPr/>
          <w:p>
            <w:pPr>
              <w:pStyle w:val="Compact"/>
              <w:jc w:val="left"/>
            </w:pPr>
            <w:r>
              <w:t xml:space="preserve">End-of-Life Treatment of Sold Products</w:t>
            </w:r>
          </w:p>
        </w:tc>
        <w:tc>
          <w:tcPr/>
          <w:p>
            <w:pPr>
              <w:pStyle w:val="Compact"/>
              <w:jc w:val="left"/>
            </w:pPr>
            <w:r>
              <w:t xml:space="preserve">-0.84</w:t>
            </w:r>
          </w:p>
        </w:tc>
      </w:tr>
      <w:tr>
        <w:tc>
          <w:tcPr>
            <w:gridSpan w:val="2"/>
          </w:tcPr>
          <w:p>
            <w:pPr>
              <w:pStyle w:val="Compact"/>
              <w:jc w:val="left"/>
            </w:pPr>
            <w:r>
              <w:rPr>
                <w:bCs/>
                <w:b/>
              </w:rPr>
              <w:t xml:space="preserve">TOTAL PRODUCT CARBON FOOTPRINT (jrwtjqtwpw)</w:t>
            </w:r>
          </w:p>
        </w:tc>
        <w:tc>
          <w:tcPr/>
          <w:p>
            <w:pPr>
              <w:pStyle w:val="Compact"/>
              <w:jc w:val="left"/>
            </w:pPr>
            <w:r>
              <w:rPr>
                <w:bCs/>
                <w:b/>
              </w:rPr>
              <w:t xml:space="preserve">82.94</w:t>
            </w:r>
          </w:p>
        </w:tc>
      </w:tr>
    </w:tbl>
    <w:bookmarkEnd w:id="37"/>
    <w:bookmarkStart w:id="38" w:name="application-of-2026-lsr-update"/>
    <w:p>
      <w:pPr>
        <w:pStyle w:val="Heading3"/>
      </w:pPr>
      <w:r>
        <w:t xml:space="preserve">Application of 2026 LSR Update</w:t>
      </w:r>
    </w:p>
    <w:p>
      <w:pPr>
        <w:pStyle w:val="FirstParagraph"/>
      </w:pPr>
      <w:r>
        <w:t xml:space="preserve">The GHG Protocol\'s Land Sector and Removals (LSR) Standard, published on January 30, 2026, and effective January 1, 2027, provides guidance for accounting for land emissions and CO2 removals, particularly for entities with significant land sector activities or those reporting CO2 removals. While</w:t>
      </w:r>
      <w:r>
        <w:t xml:space="preserve"> </w:t>
      </w:r>
      <w:r>
        <w:rPr>
          <w:bCs/>
          <w:b/>
        </w:rPr>
        <w:t xml:space="preserve">jrwtjqtwpw</w:t>
      </w:r>
      <w:r>
        <w:t xml:space="preserve"> </w:t>
      </w:r>
      <w:r>
        <w:t xml:space="preserve">itself does not directly involve land-intensive activities, the LSR Standard is crucial for assessing potential upstream impacts within the supply chain, especially concerning agricultural products or bio-based materials (e.g., paper for packaging/manuals). For this report, the materials like paper for packaging and manuals implicitly incorporate land-use related emissions through their generic emission factors. Should more detailed primary data become available for these specific components, a more granular application of the LSR Standard would be pursued to capture any associated emissions or removals.</w:t>
      </w:r>
    </w:p>
    <w:bookmarkEnd w:id="38"/>
    <w:bookmarkStart w:id="39" w:name="scope-3-compliance-95-coverage"/>
    <w:p>
      <w:pPr>
        <w:pStyle w:val="Heading3"/>
      </w:pPr>
      <w:r>
        <w:t xml:space="preserve">Scope 3 Compliance: 95% Coverage</w:t>
      </w:r>
    </w:p>
    <w:p>
      <w:pPr>
        <w:pStyle w:val="FirstParagraph"/>
      </w:pPr>
      <w:r>
        <w:t xml:space="preserve">As per the 2026 requirements of the GHG Protocol Scope 3 Standard revisions, companies must report at least 95% of total required Scope 3 emissions. This analysis for</w:t>
      </w:r>
      <w:r>
        <w:t xml:space="preserve"> </w:t>
      </w:r>
      <w:r>
        <w:rPr>
          <w:bCs/>
          <w:b/>
        </w:rPr>
        <w:t xml:space="preserve">jrwtjqtwpw</w:t>
      </w:r>
      <w:r>
        <w:t xml:space="preserve"> </w:t>
      </w:r>
      <w:r>
        <w:t xml:space="preserve">has meticulously included all significant upstream and downstream categories (Categories 1, 4, 11, and 12), ensuring comprehensive coverage. While other Scope 3 categories may exist, preliminary materiality assessments suggest the identified categories represent the vast majority of the product\'s value chain emissions, aligning with the 95% coverage threshold by addressing the major emission sources. The data disaggregation by type for each Scope 3 category, as proposed in the 2026 revisions, would further enhance transparency and is recommended for future reports.</w:t>
      </w:r>
    </w:p>
    <w:p>
      <w:r>
        <w:pict>
          <v:rect style="width:0;height:1.5pt" o:hralign="center" o:hrstd="t" o:hr="t"/>
        </w:pict>
      </w:r>
    </w:p>
    <w:bookmarkEnd w:id="39"/>
    <w:bookmarkEnd w:id="40"/>
    <w:bookmarkStart w:id="44" w:name="review-report-hotspots-and-reliability"/>
    <w:p>
      <w:pPr>
        <w:pStyle w:val="Heading2"/>
      </w:pPr>
      <w:r>
        <w:t xml:space="preserve">5. Review &amp; Report (Hotspots and Reliability)</w:t>
      </w:r>
    </w:p>
    <w:bookmarkStart w:id="41" w:name="emission-hotspots"/>
    <w:p>
      <w:pPr>
        <w:pStyle w:val="Heading3"/>
      </w:pPr>
      <w:r>
        <w:t xml:space="preserve">Emission Hotspots</w:t>
      </w:r>
    </w:p>
    <w:p>
      <w:pPr>
        <w:pStyle w:val="FirstParagraph"/>
      </w:pPr>
      <w:r>
        <w:t xml:space="preserve">The primary emission hotspots for</w:t>
      </w:r>
      <w:r>
        <w:t xml:space="preserve"> </w:t>
      </w:r>
      <w:r>
        <w:rPr>
          <w:bCs/>
          <w:b/>
        </w:rPr>
        <w:t xml:space="preserve">jrwtjqtwpw</w:t>
      </w:r>
      <w:r>
        <w:t xml:space="preserve"> </w:t>
      </w:r>
      <w:r>
        <w:t xml:space="preserve">are identified as:</w:t>
      </w:r>
    </w:p>
    <w:p>
      <w:pPr>
        <w:numPr>
          <w:ilvl w:val="0"/>
          <w:numId w:val="1011"/>
        </w:numPr>
        <w:pStyle w:val="Compact"/>
      </w:pPr>
      <w:r>
        <w:rPr>
          <w:bCs/>
          <w:b/>
        </w:rPr>
        <w:t xml:space="preserve">Use Phase (30.1%):</w:t>
      </w:r>
      <w:r>
        <w:t xml:space="preserve"> </w:t>
      </w:r>
      <w:r>
        <w:t xml:space="preserve">The energy consumption during the 5-year product lifespan contributes significantly to the overall footprint. This highlights the importance of energy efficiency in product design and the shift towards renewable energy sources in user regions.</w:t>
      </w:r>
    </w:p>
    <w:p>
      <w:pPr>
        <w:numPr>
          <w:ilvl w:val="0"/>
          <w:numId w:val="1011"/>
        </w:numPr>
        <w:pStyle w:val="Compact"/>
      </w:pPr>
      <w:r>
        <w:rPr>
          <w:bCs/>
          <w:b/>
        </w:rPr>
        <w:t xml:space="preserve">Transportation &amp; Distribution (30.2%):</w:t>
      </w:r>
      <w:r>
        <w:t xml:space="preserve"> </w:t>
      </w:r>
      <w:r>
        <w:t xml:space="preserve">Last-mile delivery emerges as a notable contributor within transportation, indicating opportunities for optimizing logistics networks and selecting lower-emission delivery methods.</w:t>
      </w:r>
    </w:p>
    <w:p>
      <w:pPr>
        <w:numPr>
          <w:ilvl w:val="0"/>
          <w:numId w:val="1011"/>
        </w:numPr>
        <w:pStyle w:val="Compact"/>
      </w:pPr>
      <w:r>
        <w:rPr>
          <w:bCs/>
          <w:b/>
        </w:rPr>
        <w:t xml:space="preserve">Purchased Energy (Production) (24.4%):</w:t>
      </w:r>
      <w:r>
        <w:t xml:space="preserve"> </w:t>
      </w:r>
      <w:r>
        <w:t xml:space="preserve">While 30% renewable energy is used, the remaining grid electricity in China, with its relatively high emission factor, still represents a substantial portion. Increasing renewable energy procurement at the production facility is a key lever for reduction.</w:t>
      </w:r>
    </w:p>
    <w:p>
      <w:pPr>
        <w:numPr>
          <w:ilvl w:val="0"/>
          <w:numId w:val="1011"/>
        </w:numPr>
        <w:pStyle w:val="Compact"/>
      </w:pPr>
      <w:r>
        <w:rPr>
          <w:bCs/>
          <w:b/>
        </w:rPr>
        <w:t xml:space="preserve">Purchased Goods &amp; Services (Materials) (16.4%):</w:t>
      </w:r>
      <w:r>
        <w:t xml:space="preserve"> </w:t>
      </w:r>
      <w:r>
        <w:t xml:space="preserve">Specific materials like PCB assemblies and Lithium-ion batteries have high embodied carbon. Investigating alternative, lower-carbon materials or optimizing material usage can reduce this impact.</w:t>
      </w:r>
    </w:p>
    <w:bookmarkEnd w:id="41"/>
    <w:bookmarkStart w:id="42" w:name="reliability-and-limitations"/>
    <w:p>
      <w:pPr>
        <w:pStyle w:val="Heading3"/>
      </w:pPr>
      <w:r>
        <w:t xml:space="preserve">Reliability and Limitations</w:t>
      </w:r>
    </w:p>
    <w:p>
      <w:pPr>
        <w:pStyle w:val="FirstParagraph"/>
      </w:pPr>
      <w:r>
        <w:t xml:space="preserve">The reliability of this PCF analysis is generally high due to the application of the</w:t>
      </w:r>
      <w:r>
        <w:t xml:space="preserve"> </w:t>
      </w:r>
      <w:r>
        <w:rPr>
          <w:bCs/>
          <w:b/>
        </w:rPr>
        <w:t xml:space="preserve">GHG Protocol</w:t>
      </w:r>
      <w:r>
        <w:t xml:space="preserve"> </w:t>
      </w:r>
      <w:r>
        <w:t xml:space="preserve">and the use of specific BOM data. However, certain limitations exist:</w:t>
      </w:r>
    </w:p>
    <w:p>
      <w:pPr>
        <w:numPr>
          <w:ilvl w:val="0"/>
          <w:numId w:val="1012"/>
        </w:numPr>
        <w:pStyle w:val="Compact"/>
      </w:pPr>
      <w:r>
        <w:rPr>
          <w:bCs/>
          <w:b/>
        </w:rPr>
        <w:t xml:space="preserve">Secondary Data Reliance:</w:t>
      </w:r>
      <w:r>
        <w:t xml:space="preserve"> </w:t>
      </w:r>
      <w:r>
        <w:t xml:space="preserve">While industry-standard emission factors (Ecoinvent/DEFRA) are robust, they are generic and may not perfectly reflect the specific processes or suppliers within</w:t>
      </w:r>
      <w:r>
        <w:t xml:space="preserve"> </w:t>
      </w:r>
      <w:r>
        <w:rPr>
          <w:bCs/>
          <w:b/>
        </w:rPr>
        <w:t xml:space="preserve">pvlwvtqgzh</w:t>
      </w:r>
      <w:r>
        <w:t xml:space="preserve">\'s unique supply chain.</w:t>
      </w:r>
    </w:p>
    <w:p>
      <w:pPr>
        <w:numPr>
          <w:ilvl w:val="0"/>
          <w:numId w:val="1012"/>
        </w:numPr>
        <w:pStyle w:val="Compact"/>
      </w:pPr>
      <w:r>
        <w:rPr>
          <w:bCs/>
          <w:b/>
        </w:rPr>
        <w:t xml:space="preserve">Geographic Specificity of EFs:</w:t>
      </w:r>
      <w:r>
        <w:t xml:space="preserve"> </w:t>
      </w:r>
      <w:r>
        <w:t xml:space="preserve">While China\'s grid EF was used for production, a generic user-country grid factor was assumed for the use phase. More specific regional grid data for the end-user market would increase accuracy.</w:t>
      </w:r>
    </w:p>
    <w:p>
      <w:pPr>
        <w:numPr>
          <w:ilvl w:val="0"/>
          <w:numId w:val="1012"/>
        </w:numPr>
        <w:pStyle w:val="Compact"/>
      </w:pPr>
      <w:r>
        <w:rPr>
          <w:bCs/>
          <w:b/>
        </w:rPr>
        <w:t xml:space="preserve">Assumptions:</w:t>
      </w:r>
      <w:r>
        <w:t xml:space="preserve"> </w:t>
      </w:r>
      <w:r>
        <w:t xml:space="preserve">Assumptions regarding product use patterns (e.g., consistent energy consumption over lifespan) and end-of-life pathways are based on current knowledge and typical scenarios.</w:t>
      </w:r>
    </w:p>
    <w:bookmarkEnd w:id="42"/>
    <w:bookmarkStart w:id="43" w:name="recommendations-for-improvement"/>
    <w:p>
      <w:pPr>
        <w:pStyle w:val="Heading3"/>
      </w:pPr>
      <w:r>
        <w:t xml:space="preserve">Recommendations for Improvement</w:t>
      </w:r>
    </w:p>
    <w:p>
      <w:pPr>
        <w:numPr>
          <w:ilvl w:val="0"/>
          <w:numId w:val="1013"/>
        </w:numPr>
        <w:pStyle w:val="Compact"/>
      </w:pPr>
      <w:r>
        <w:rPr>
          <w:bCs/>
          <w:b/>
        </w:rPr>
        <w:t xml:space="preserve">Supply Chain Engagement:</w:t>
      </w:r>
      <w:r>
        <w:t xml:space="preserve"> </w:t>
      </w:r>
      <w:r>
        <w:t xml:space="preserve">Collaborate with key material suppliers to collect primary, supplier-specific emission data for high-impact components (e.g., electronics, steel, plastics) to enhance accuracy.</w:t>
      </w:r>
    </w:p>
    <w:p>
      <w:pPr>
        <w:numPr>
          <w:ilvl w:val="0"/>
          <w:numId w:val="1013"/>
        </w:numPr>
        <w:pStyle w:val="Compact"/>
      </w:pPr>
      <w:r>
        <w:rPr>
          <w:bCs/>
          <w:b/>
        </w:rPr>
        <w:t xml:space="preserve">Energy Decarbonization:</w:t>
      </w:r>
      <w:r>
        <w:t xml:space="preserve"> </w:t>
      </w:r>
      <w:r>
        <w:t xml:space="preserve">Explore further opportunities to increase renewable energy usage at the production facility in China, potentially through renewable energy certificates or on-site generation.</w:t>
      </w:r>
    </w:p>
    <w:p>
      <w:pPr>
        <w:numPr>
          <w:ilvl w:val="0"/>
          <w:numId w:val="1013"/>
        </w:numPr>
        <w:pStyle w:val="Compact"/>
      </w:pPr>
      <w:r>
        <w:rPr>
          <w:bCs/>
          <w:b/>
        </w:rPr>
        <w:t xml:space="preserve">Logistics Optimization:</w:t>
      </w:r>
      <w:r>
        <w:t xml:space="preserve"> </w:t>
      </w:r>
      <w:r>
        <w:t xml:space="preserve">Investigate efficiencies in last-mile delivery, such as optimizing routes, utilizing electric vehicles, or consolidating shipments.</w:t>
      </w:r>
    </w:p>
    <w:p>
      <w:pPr>
        <w:numPr>
          <w:ilvl w:val="0"/>
          <w:numId w:val="1013"/>
        </w:numPr>
        <w:pStyle w:val="Compact"/>
      </w:pPr>
      <w:r>
        <w:rPr>
          <w:bCs/>
          <w:b/>
        </w:rPr>
        <w:t xml:space="preserve">Product Design for Sustainability:</w:t>
      </w:r>
      <w:r>
        <w:t xml:space="preserve"> </w:t>
      </w:r>
      <w:r>
        <w:t xml:space="preserve">Focus on designing for energy efficiency in the use phase and explore alternative low-carbon materials for high-impact components. Further enhance recyclability and explore new circular economy initiatives.</w:t>
      </w:r>
    </w:p>
    <w:p>
      <w:pPr>
        <w:numPr>
          <w:ilvl w:val="0"/>
          <w:numId w:val="1013"/>
        </w:numPr>
        <w:pStyle w:val="Compact"/>
      </w:pPr>
      <w:r>
        <w:rPr>
          <w:bCs/>
          <w:b/>
        </w:rPr>
        <w:t xml:space="preserve">Data Granularity for LSR:</w:t>
      </w:r>
      <w:r>
        <w:t xml:space="preserve"> </w:t>
      </w:r>
      <w:r>
        <w:t xml:space="preserve">As the LSR Standard becomes effective, develop methods to track land-use emissions and removals more precisely for any bio-based materials in the supply chain.</w:t>
      </w:r>
    </w:p>
    <w:p>
      <w:r>
        <w:pict>
          <v:rect style="width:0;height:1.5pt" o:hralign="center" o:hrstd="t" o:hr="t"/>
        </w:pict>
      </w:r>
    </w:p>
    <w:p>
      <w:pPr>
        <w:pStyle w:val="FirstParagraph"/>
      </w:pPr>
      <w:r>
        <w:t xml:space="preserve">Confidential - Internal Use Only</w:t>
      </w:r>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jrwtjqtwpw</dc:title>
  <dc:creator/>
  <dc:description>High-detail Product Carbon Footprint (PCF) analysis report for jrwtjqtwpw, conducted by viskwzfmvj, Senior Sustainability Consultant at pvlwvtqgzh, adhering to GHG Protocol and 2026 updates.</dc:description>
  <dc:language>en</dc:language>
  <cp:keywords/>
  <dcterms:created xsi:type="dcterms:W3CDTF">2026-07-15T07:19:17Z</dcterms:created>
  <dcterms:modified xsi:type="dcterms:W3CDTF">2026-07-15T07:19:17Z</dcterms:modified>
</cp:coreProperties>
</file>

<file path=docProps/custom.xml><?xml version="1.0" encoding="utf-8"?>
<Properties xmlns="http://schemas.openxmlformats.org/officeDocument/2006/custom-properties" xmlns:vt="http://schemas.openxmlformats.org/officeDocument/2006/docPropsVTypes"/>
</file>