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jrqnmyffqz</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jrqnmyffqz"/>
    <w:p>
      <w:pPr>
        <w:pStyle w:val="Heading2"/>
      </w:pPr>
      <w:r>
        <w:t xml:space="preserve">Product: jrqnmyffqz</w:t>
      </w:r>
    </w:p>
    <w:p>
      <w:pPr>
        <w:pStyle w:val="FirstParagraph"/>
      </w:pPr>
      <w:r>
        <w:rPr>
          <w:bCs/>
          <w:b/>
        </w:rPr>
        <w:t xml:space="preserve">Company Name:</w:t>
      </w:r>
      <w:r>
        <w:t xml:space="preserve"> </w:t>
      </w:r>
      <w:r>
        <w:t xml:space="preserve">hzmuftxkkv</w:t>
      </w:r>
    </w:p>
    <w:p>
      <w:pPr>
        <w:pStyle w:val="BodyText"/>
      </w:pPr>
      <w:r>
        <w:rPr>
          <w:bCs/>
          <w:b/>
        </w:rPr>
        <w:t xml:space="preserve">Senior Sustainability Consultant:</w:t>
      </w:r>
      <w:r>
        <w:t xml:space="preserve"> </w:t>
      </w:r>
      <w:r>
        <w:t xml:space="preserve">fosjqierwz</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Actual values may vary and require further primary data collection for higher accuracy.</w:t>
      </w:r>
    </w:p>
    <w:p>
      <w:pPr>
        <w:pStyle w:val="BodyText"/>
      </w:pPr>
      <w:r>
        <w:t xml:space="preserve">Generated Date: June 4, 2026</w:t>
      </w:r>
    </w:p>
    <w:bookmarkEnd w:id="20"/>
    <w:bookmarkEnd w:id="21"/>
    <w:bookmarkStart w:id="22" w:name="executive-summary"/>
    <w:p>
      <w:pPr>
        <w:pStyle w:val="Heading1"/>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jrqnmyffqz</w:t>
      </w:r>
      <w:r>
        <w:t xml:space="preserve">, manufactured by</w:t>
      </w:r>
      <w:r>
        <w:t xml:space="preserve"> </w:t>
      </w:r>
      <w:r>
        <w:rPr>
          <w:bCs/>
          <w:b/>
        </w:rPr>
        <w:t xml:space="preserve">hzmuftxkkv</w:t>
      </w:r>
      <w:r>
        <w:t xml:space="preserve">. The analysis was conducted by</w:t>
      </w:r>
      <w:r>
        <w:t xml:space="preserve"> </w:t>
      </w:r>
      <w:r>
        <w:rPr>
          <w:bCs/>
          <w:b/>
        </w:rPr>
        <w:t xml:space="preserve">fosjqierwz</w:t>
      </w:r>
      <w:r>
        <w:t xml:space="preserve">, Senior Sustainability Consultant, adhering to the internationally recognized</w:t>
      </w:r>
      <w:r>
        <w:t xml:space="preserve"> </w:t>
      </w:r>
      <w:r>
        <w:rPr>
          <w:bCs/>
          <w:b/>
        </w:rPr>
        <w:t xml:space="preserve">GHG Protocol</w:t>
      </w:r>
      <w:r>
        <w:t xml:space="preserve"> </w:t>
      </w:r>
      <w:r>
        <w:t xml:space="preserve">standards. The objective is to quantify the greenhouse gas (GHG) emissions associated with the product\'s entire lifecycle, from raw material extraction to end-of-life, identify emission hotspots, and provide insights for reduction strategies.</w:t>
      </w:r>
    </w:p>
    <w:p>
      <w:pPr>
        <w:pStyle w:val="BodyText"/>
      </w:pPr>
      <w:r>
        <w:t xml:space="preserve">The PCF was calculated using a cradle-to-grave approach, encompassing material acquisition, manufacturing, transportation, use phase, and end-of-life scenarios. Special attention has been given to achieving at least 95% coverage for Scope 3 emissions, as per 2026 requirements, and integrating the principles of the GHG Protocol\'s 2026 Land Sector and Removals (LSR) Standard where applicable.</w:t>
      </w:r>
    </w:p>
    <w:p>
      <w:r>
        <w:pict>
          <v:rect style="width:0;height:1.5pt" o:hralign="center" o:hrstd="t" o:hr="t"/>
        </w:pict>
      </w:r>
    </w:p>
    <w:bookmarkEnd w:id="22"/>
    <w:bookmarkStart w:id="31" w:name="methodology"/>
    <w:p>
      <w:pPr>
        <w:pStyle w:val="Heading1"/>
      </w:pPr>
      <w:r>
        <w:t xml:space="preserve">2. Methodology</w:t>
      </w:r>
    </w:p>
    <w:p>
      <w:pPr>
        <w:pStyle w:val="FirstParagraph"/>
      </w:pPr>
      <w:r>
        <w:t xml:space="preserve">The Product Carbon Footprint analysis for</w:t>
      </w:r>
      <w:r>
        <w:t xml:space="preserve"> </w:t>
      </w:r>
      <w:r>
        <w:rPr>
          <w:bCs/>
          <w:b/>
        </w:rPr>
        <w:t xml:space="preserve">jrqnmyffqz</w:t>
      </w:r>
      <w:r>
        <w:t xml:space="preserve"> </w:t>
      </w:r>
      <w:r>
        <w:t xml:space="preserve">follows the five-step methodology recommended by the GHG Protocol:</w:t>
      </w:r>
    </w:p>
    <w:bookmarkStart w:id="23" w:name="step-1-define-scope"/>
    <w:p>
      <w:pPr>
        <w:pStyle w:val="Heading2"/>
      </w:pPr>
      <w:r>
        <w:t xml:space="preserve">2.1. Step 1: Define Scope</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w:t>
      </w:r>
      <w:r>
        <w:t xml:space="preserve"> </w:t>
      </w:r>
      <w:r>
        <w:rPr>
          <w:bCs/>
          <w:b/>
        </w:rPr>
        <w:t xml:space="preserve">jrqnmyffqz</w:t>
      </w:r>
      <w:r>
        <w:t xml:space="preserve">, providing its intended function over its lifespan.</w:t>
      </w:r>
    </w:p>
    <w:p>
      <w:pPr>
        <w:numPr>
          <w:ilvl w:val="0"/>
          <w:numId w:val="1001"/>
        </w:numPr>
        <w:pStyle w:val="Compact"/>
      </w:pPr>
      <w:r>
        <w:rPr>
          <w:bCs/>
          <w:b/>
        </w:rPr>
        <w:t xml:space="preserve">System Boundary:</w:t>
      </w:r>
      <w:r>
        <w:t xml:space="preserve"> </w:t>
      </w:r>
      <w:r>
        <w:t xml:space="preserve">The primary system boundary for the manufacturing phase is defined as</w:t>
      </w:r>
      <w:r>
        <w:t xml:space="preserve"> </w:t>
      </w:r>
      <w:r>
        <w:rPr>
          <w:bCs/>
          <w:b/>
        </w:rPr>
        <w:t xml:space="preserve">factory_gate</w:t>
      </w:r>
      <w:r>
        <w:t xml:space="preserve">, covering all processes up to the product leaving the production facility. However, as per the detailed request, the overall PCF extends to a modified "cradle-to-grave" approach, incorporating upstream material extraction, inbound logistics, outbound logistics, the product\'s use phase, and end-of-life treatment. This expanded boundary ensures a comprehensive assessment across the value chain, crucial for robust Scope 3 reporting.</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w:t>
      </w:r>
      <w:r>
        <w:t xml:space="preserve"> </w:t>
      </w:r>
      <w:r>
        <w:rPr>
          <w:bCs/>
          <w:b/>
        </w:rPr>
        <w:t xml:space="preserve">Europe Focused</w:t>
      </w:r>
      <w:r>
        <w:t xml:space="preserve"> </w:t>
      </w:r>
      <w:r>
        <w:t xml:space="preserve">supply chain, indicating a significant portion of raw materials and distribution network is within Europe.</w:t>
      </w:r>
    </w:p>
    <w:p>
      <w:pPr>
        <w:numPr>
          <w:ilvl w:val="0"/>
          <w:numId w:val="1001"/>
        </w:numPr>
        <w:pStyle w:val="Compact"/>
      </w:pPr>
      <w:r>
        <w:rPr>
          <w:bCs/>
          <w:b/>
        </w:rPr>
        <w:t xml:space="preserve">Allocation:</w:t>
      </w:r>
      <w:r>
        <w:t xml:space="preserve"> </w:t>
      </w:r>
      <w:r>
        <w:t xml:space="preserve">Emissions are allocated based on physical parameters (e.g., mass, energy consumption) for co-products or multi-functional processes, as appropriate. Where specific allocation data is unavailable, mass-based allocation is applied.</w:t>
      </w:r>
    </w:p>
    <w:bookmarkEnd w:id="23"/>
    <w:bookmarkStart w:id="30" w:name="step-2-3-map-lifecycle-and-collect-data"/>
    <w:p>
      <w:pPr>
        <w:pStyle w:val="Heading2"/>
      </w:pPr>
      <w:r>
        <w:t xml:space="preserve">2.2. Step 2 &amp; 3: Map Lifecycle and Collect Data</w:t>
      </w:r>
    </w:p>
    <w:p>
      <w:pPr>
        <w:pStyle w:val="FirstParagraph"/>
      </w:pPr>
      <w:r>
        <w:t xml:space="preserve">The lifecycle of</w:t>
      </w:r>
      <w:r>
        <w:t xml:space="preserve"> </w:t>
      </w:r>
      <w:r>
        <w:rPr>
          <w:bCs/>
          <w:b/>
        </w:rPr>
        <w:t xml:space="preserve">jrqnmyffqz</w:t>
      </w:r>
      <w:r>
        <w:t xml:space="preserve"> </w:t>
      </w:r>
      <w:r>
        <w:t xml:space="preserve">is mapped across several stages, and relevant data points are collected. Primary data (where specified, like BOM, energy intensity) is prioritized, supplemented by secondary data from industry-standard databases (e.g., Ecoinvent, DEFRA) for generic emission factors. The emission factors used are illustrative and based on publicly available data, noting that exact factors can vary based on specific supplier, technology, and regional grid mixes.</w:t>
      </w:r>
    </w:p>
    <w:bookmarkStart w:id="25" w:name="Xc74c4e48482d75db518066c4ad9efc3d824935d"/>
    <w:p>
      <w:pPr>
        <w:pStyle w:val="Heading3"/>
      </w:pPr>
      <w:r>
        <w:t xml:space="preserve">2.2.1. Material Acquisition and Production (Upstream - Scope 3)</w:t>
      </w:r>
    </w:p>
    <w:p>
      <w:pPr>
        <w:pStyle w:val="FirstParagraph"/>
      </w:pPr>
      <w:r>
        <w:t xml:space="preserve">The Bill of Materials (BOM) provides a detailed breakdown of components and their associated carbon impact. The \'Total Carbon\' for each item in the BOM is calculated by multiplying its quantity by its respective Emission Factor.</w:t>
      </w:r>
    </w:p>
    <w:bookmarkStart w:id="24" w:name="Xfe9b0003da2d711e9da96a36d3cec5a367a6f0c"/>
    <w:p>
      <w:pPr>
        <w:pStyle w:val="Heading4"/>
      </w:pPr>
      <w:r>
        <w:t xml:space="preserve">Detailed Bill of Materials (BOM) for jrqnmyffqz: kuvmully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Casting, Machining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 (Illustrative, based on Ecoinvent data for low-alloyed steel production)</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3.125 (Based on Ecoinvent data for ABS in Europe)</w:t>
            </w:r>
          </w:p>
        </w:tc>
        <w:tc>
          <w:tcPr/>
          <w:p>
            <w:pPr>
              <w:pStyle w:val="Compact"/>
              <w:jc w:val="left"/>
            </w:pPr>
            <w:r>
              <w:t xml:space="preserve">3.75</w:t>
            </w:r>
          </w:p>
        </w:tc>
      </w:tr>
      <w:tr>
        <w:tc>
          <w:tcPr/>
          <w:p>
            <w:pPr>
              <w:pStyle w:val="Compact"/>
              <w:jc w:val="left"/>
            </w:pPr>
            <w:r>
              <w:t xml:space="preserve">MAT-003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 (Illustrative estimate for complex electronics)</w:t>
            </w:r>
          </w:p>
        </w:tc>
        <w:tc>
          <w:tcPr/>
          <w:p>
            <w:pPr>
              <w:pStyle w:val="Compact"/>
              <w:jc w:val="left"/>
            </w:pPr>
            <w:r>
              <w:t xml:space="preserve">1.5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2.8 (Illustrative, based on Ecoinvent data for copper production)</w:t>
            </w:r>
          </w:p>
        </w:tc>
        <w:tc>
          <w:tcPr/>
          <w:p>
            <w:pPr>
              <w:pStyle w:val="Compact"/>
              <w:jc w:val="left"/>
            </w:pPr>
            <w:r>
              <w:t xml:space="preserve">0.84</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Cutting, Folding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 (Based on DEFRA data for primary cardboard production)</w:t>
            </w:r>
          </w:p>
        </w:tc>
        <w:tc>
          <w:tcPr/>
          <w:p>
            <w:pPr>
              <w:pStyle w:val="Compact"/>
              <w:jc w:val="left"/>
            </w:pPr>
            <w:r>
              <w:t xml:space="preserve">0.6</w:t>
            </w:r>
          </w:p>
        </w:tc>
      </w:tr>
      <w:tr>
        <w:tc>
          <w:tcPr>
            <w:gridSpan w:val="7"/>
          </w:tcPr>
          <w:p>
            <w:pPr>
              <w:pStyle w:val="Compact"/>
              <w:jc w:val="right"/>
            </w:pPr>
            <w:r>
              <w:rPr>
                <w:bCs/>
                <w:b/>
              </w:rPr>
              <w:t xml:space="preserve">Total Material Emissions:</w:t>
            </w:r>
          </w:p>
        </w:tc>
        <w:tc>
          <w:tcPr/>
          <w:p>
            <w:pPr>
              <w:pStyle w:val="Compact"/>
              <w:jc w:val="left"/>
            </w:pPr>
            <w:r>
              <w:rPr>
                <w:bCs/>
                <w:b/>
              </w:rPr>
              <w:t xml:space="preserve">11.69 kg CO2e</w:t>
            </w:r>
          </w:p>
        </w:tc>
      </w:tr>
    </w:tbl>
    <w:bookmarkEnd w:id="24"/>
    <w:bookmarkEnd w:id="25"/>
    <w:bookmarkStart w:id="26" w:name="X113aeca8087bcf761689c42a6e9e2195dbf1f8e"/>
    <w:p>
      <w:pPr>
        <w:pStyle w:val="Heading3"/>
      </w:pPr>
      <w:r>
        <w:t xml:space="preserve">2.2.2. Production Energy (Direct &amp; Indirect Emissions - Scope 1 &amp; 2)</w:t>
      </w:r>
    </w:p>
    <w:p>
      <w:pPr>
        <w:pStyle w:val="FirstParagraph"/>
      </w:pPr>
      <w:r>
        <w:t xml:space="preserve">Energy consumption during the production phase for</w:t>
      </w:r>
      <w:r>
        <w:t xml:space="preserve"> </w:t>
      </w:r>
      <w:r>
        <w:rPr>
          <w:bCs/>
          <w:b/>
        </w:rPr>
        <w:t xml:space="preserve">jrqnmyffqz</w:t>
      </w:r>
      <w:r>
        <w:t xml:space="preserve"> </w:t>
      </w:r>
      <w:r>
        <w:t xml:space="preserve">in China is a critical factor. The following parameters were provided:</w:t>
      </w:r>
    </w:p>
    <w:p>
      <w:pPr>
        <w:numPr>
          <w:ilvl w:val="0"/>
          <w:numId w:val="1002"/>
        </w:numPr>
        <w:pStyle w:val="Compact"/>
      </w:pPr>
      <w:r>
        <w:rPr>
          <w:bCs/>
          <w:b/>
        </w:rPr>
        <w:t xml:space="preserve">Energy Intensity (kWh/unit):</w:t>
      </w:r>
      <w:r>
        <w:t xml:space="preserve"> </w:t>
      </w:r>
      <w:r>
        <w:t xml:space="preserve">kuwyxkisxi</w:t>
      </w:r>
      <w:r>
        <w:t xml:space="preserve"> </w:t>
      </w:r>
      <w:r>
        <w:t xml:space="preserve">(e.g., assuming 10 kWh/unit for calculation demonstration)</w:t>
      </w:r>
    </w:p>
    <w:p>
      <w:pPr>
        <w:numPr>
          <w:ilvl w:val="0"/>
          <w:numId w:val="1002"/>
        </w:numPr>
        <w:pStyle w:val="Compact"/>
      </w:pPr>
      <w:r>
        <w:rPr>
          <w:bCs/>
          <w:b/>
        </w:rPr>
        <w:t xml:space="preserve">Renewable Energy Usage:</w:t>
      </w:r>
      <w:r>
        <w:t xml:space="preserve"> </w:t>
      </w:r>
      <w:r>
        <w:t xml:space="preserve">fiynogpkxw</w:t>
      </w:r>
      <w:r>
        <w:t xml:space="preserve"> </w:t>
      </w:r>
      <w:r>
        <w:t xml:space="preserve">(e.g., assuming 50% for calculation demonstration)</w:t>
      </w:r>
    </w:p>
    <w:p>
      <w:pPr>
        <w:pStyle w:val="FirstParagraph"/>
      </w:pPr>
      <w:r>
        <w:t xml:space="preserve">The emission factor for the China Power Grid is approximately 0.577 kg CO2e/kWh.</w:t>
      </w:r>
    </w:p>
    <w:bookmarkEnd w:id="26"/>
    <w:bookmarkStart w:id="27" w:name="transport-upstream-downstream---scope-3"/>
    <w:p>
      <w:pPr>
        <w:pStyle w:val="Heading3"/>
      </w:pPr>
      <w:r>
        <w:t xml:space="preserve">2.2.3. Transport (Upstream &amp; Downstream - Scope 3)</w:t>
      </w:r>
    </w:p>
    <w:p>
      <w:pPr>
        <w:pStyle w:val="FirstParagraph"/>
      </w:pPr>
      <w:r>
        <w:t xml:space="preserve">Logistics data for raw material inbound and finished product outbound transport are incorporated:</w:t>
      </w:r>
    </w:p>
    <w:p>
      <w:pPr>
        <w:numPr>
          <w:ilvl w:val="0"/>
          <w:numId w:val="1003"/>
        </w:numPr>
        <w:pStyle w:val="Compact"/>
      </w:pPr>
      <w:r>
        <w:rPr>
          <w:bCs/>
          <w:b/>
        </w:rPr>
        <w:t xml:space="preserve">Transport Mode (main freight):</w:t>
      </w:r>
      <w:r>
        <w:t xml:space="preserve"> </w:t>
      </w:r>
      <w:r>
        <w:t xml:space="preserve">Select Mode</w:t>
      </w:r>
      <w:r>
        <w:t xml:space="preserve"> </w:t>
      </w:r>
      <w:r>
        <w:t xml:space="preserve">(e.g., assuming Road freight, HGV for calculation demonstration)</w:t>
      </w:r>
    </w:p>
    <w:p>
      <w:pPr>
        <w:numPr>
          <w:ilvl w:val="0"/>
          <w:numId w:val="1003"/>
        </w:numPr>
        <w:pStyle w:val="Compact"/>
      </w:pPr>
      <w:r>
        <w:rPr>
          <w:bCs/>
          <w:b/>
        </w:rPr>
        <w:t xml:space="preserve">Transport Distance:</w:t>
      </w:r>
      <w:r>
        <w:t xml:space="preserve"> </w:t>
      </w:r>
      <w:r>
        <w:t xml:space="preserve">wqpwjjqvxt</w:t>
      </w:r>
      <w:r>
        <w:t xml:space="preserve"> </w:t>
      </w:r>
      <w:r>
        <w:t xml:space="preserve">(e.g., assuming 5000 km for inbound materials and 500 km for outbound final product delivery for calculation demonstration)</w:t>
      </w:r>
    </w:p>
    <w:p>
      <w:pPr>
        <w:numPr>
          <w:ilvl w:val="0"/>
          <w:numId w:val="1003"/>
        </w:numPr>
        <w:pStyle w:val="Compact"/>
      </w:pPr>
      <w:r>
        <w:rPr>
          <w:bCs/>
          <w:b/>
        </w:rPr>
        <w:t xml:space="preserve">Last-Mile Delivery Channel:</w:t>
      </w:r>
      <w:r>
        <w:t xml:space="preserve"> </w:t>
      </w:r>
      <w:r>
        <w:t xml:space="preserve">Delivery Type</w:t>
      </w:r>
      <w:r>
        <w:t xml:space="preserve"> </w:t>
      </w:r>
      <w:r>
        <w:t xml:space="preserve">(e.g., assuming Parcel delivery van for calculation demonstration)</w:t>
      </w:r>
    </w:p>
    <w:p>
      <w:pPr>
        <w:pStyle w:val="FirstParagraph"/>
      </w:pPr>
      <w:r>
        <w:t xml:space="preserve">Emission factors used for transport modes are based on industry averages (e.g., DEFRA, GLEC framework):</w:t>
      </w:r>
    </w:p>
    <w:p>
      <w:pPr>
        <w:numPr>
          <w:ilvl w:val="0"/>
          <w:numId w:val="1004"/>
        </w:numPr>
        <w:pStyle w:val="Compact"/>
      </w:pPr>
      <w:r>
        <w:t xml:space="preserve">Road Freight (HGV average): ~0.1 kg CO2e/tonne-km (illustrative, emphasizing load efficiency)</w:t>
      </w:r>
    </w:p>
    <w:p>
      <w:pPr>
        <w:numPr>
          <w:ilvl w:val="0"/>
          <w:numId w:val="1004"/>
        </w:numPr>
        <w:pStyle w:val="Compact"/>
      </w:pPr>
      <w:r>
        <w:t xml:space="preserve">Parcel Delivery Van: ~0.249 kg CO2e/km (assuming for a single unit delivery)</w:t>
      </w:r>
    </w:p>
    <w:bookmarkEnd w:id="27"/>
    <w:bookmarkStart w:id="28" w:name="use-phase-downstream---scope-3"/>
    <w:p>
      <w:pPr>
        <w:pStyle w:val="Heading3"/>
      </w:pPr>
      <w:r>
        <w:t xml:space="preserve">2.2.4. Use Phase (Downstream - Scope 3)</w:t>
      </w:r>
    </w:p>
    <w:p>
      <w:pPr>
        <w:pStyle w:val="FirstParagraph"/>
      </w:pPr>
      <w:r>
        <w:t xml:space="preserve">The product\'s durability and energy consumption during its active life significantly contribute to its PCF.</w:t>
      </w:r>
    </w:p>
    <w:p>
      <w:pPr>
        <w:numPr>
          <w:ilvl w:val="0"/>
          <w:numId w:val="1005"/>
        </w:numPr>
        <w:pStyle w:val="Compact"/>
      </w:pPr>
      <w:r>
        <w:rPr>
          <w:bCs/>
          <w:b/>
        </w:rPr>
        <w:t xml:space="preserve">Product Lifespan:</w:t>
      </w:r>
      <w:r>
        <w:t xml:space="preserve"> </w:t>
      </w:r>
      <w:r>
        <w:t xml:space="preserve">teyvdgoqvd</w:t>
      </w:r>
      <w:r>
        <w:t xml:space="preserve"> </w:t>
      </w:r>
      <w:r>
        <w:t xml:space="preserve">(e.g., assuming 5 years for calculation demonstration)</w:t>
      </w:r>
    </w:p>
    <w:p>
      <w:pPr>
        <w:numPr>
          <w:ilvl w:val="0"/>
          <w:numId w:val="1005"/>
        </w:numPr>
        <w:pStyle w:val="Compact"/>
      </w:pPr>
      <w:r>
        <w:rPr>
          <w:bCs/>
          <w:b/>
        </w:rPr>
        <w:t xml:space="preserve">Energy Consumption in Use:</w:t>
      </w:r>
      <w:r>
        <w:t xml:space="preserve"> </w:t>
      </w:r>
      <w:r>
        <w:t xml:space="preserve">owmshkqpst</w:t>
      </w:r>
      <w:r>
        <w:t xml:space="preserve"> </w:t>
      </w:r>
      <w:r>
        <w:t xml:space="preserve">(e.g., assuming 50 kWh/year for calculation demonstration)</w:t>
      </w:r>
    </w:p>
    <w:p>
      <w:pPr>
        <w:pStyle w:val="FirstParagraph"/>
      </w:pPr>
      <w:r>
        <w:t xml:space="preserve">Assuming the product\'s primary use market is Europe (given "Supply Chain Focus: Europe Focused"), the European average electricity grid emission factor of approximately 0.181 kg CO2e/kWh (PwC 2024 estimate) is applied for the use phase.</w:t>
      </w:r>
    </w:p>
    <w:bookmarkEnd w:id="28"/>
    <w:bookmarkStart w:id="29" w:name="Xbd5ce2581a055ba0d05236edb0e67e8783fa2ac"/>
    <w:p>
      <w:pPr>
        <w:pStyle w:val="Heading3"/>
      </w:pPr>
      <w:r>
        <w:t xml:space="preserve">2.2.5. End-of-Life (EoL) Scenarios (Downstream - Scope 3)</w:t>
      </w:r>
    </w:p>
    <w:p>
      <w:pPr>
        <w:pStyle w:val="FirstParagraph"/>
      </w:pPr>
      <w:r>
        <w:t xml:space="preserve">EoL management reflects circular economy impacts.</w:t>
      </w:r>
    </w:p>
    <w:p>
      <w:pPr>
        <w:numPr>
          <w:ilvl w:val="0"/>
          <w:numId w:val="1006"/>
        </w:numPr>
        <w:pStyle w:val="Compact"/>
      </w:pPr>
      <w:r>
        <w:rPr>
          <w:bCs/>
          <w:b/>
        </w:rPr>
        <w:t xml:space="preserve">Recyclability Percentage:</w:t>
      </w:r>
      <w:r>
        <w:t xml:space="preserve"> </w:t>
      </w:r>
      <w:r>
        <w:t xml:space="preserve">gwqrhpyhqu</w:t>
      </w:r>
      <w:r>
        <w:t xml:space="preserve"> </w:t>
      </w:r>
      <w:r>
        <w:t xml:space="preserve">(e.g., assuming 70% for calculation demonstration)</w:t>
      </w:r>
    </w:p>
    <w:p>
      <w:pPr>
        <w:numPr>
          <w:ilvl w:val="0"/>
          <w:numId w:val="1006"/>
        </w:numPr>
        <w:pStyle w:val="Compact"/>
      </w:pPr>
      <w:r>
        <w:rPr>
          <w:bCs/>
          <w:b/>
        </w:rPr>
        <w:t xml:space="preserve">Circular/Take-back Programs:</w:t>
      </w:r>
      <w:r>
        <w:t xml:space="preserve"> </w:t>
      </w:r>
      <w:r>
        <w:t xml:space="preserve">sxupyghkvt</w:t>
      </w:r>
      <w:r>
        <w:t xml:space="preserve"> </w:t>
      </w:r>
      <w:r>
        <w:t xml:space="preserve">(e.g., "Well-established take-back program for key components.")</w:t>
      </w:r>
    </w:p>
    <w:p>
      <w:pPr>
        <w:pStyle w:val="FirstParagraph"/>
      </w:pPr>
      <w:r>
        <w:t xml:space="preserve">Emissions and potential credits for recycling are considered based on the recyclability percentage. For non-recycled portions, typical landfill or incineration emissions are assumed. Recycling is generally assumed to offset the production of virgin materials, leading to avoided emissions (a negative value or credit).</w:t>
      </w:r>
    </w:p>
    <w:p>
      <w:r>
        <w:pict>
          <v:rect style="width:0;height:1.5pt" o:hralign="center" o:hrstd="t" o:hr="t"/>
        </w:pict>
      </w:r>
    </w:p>
    <w:bookmarkEnd w:id="29"/>
    <w:bookmarkEnd w:id="30"/>
    <w:bookmarkEnd w:id="31"/>
    <w:bookmarkStart w:id="38" w:name="Xe5b63ecce9e9b26d515bd6a3fddf3df4cca65a7"/>
    <w:p>
      <w:pPr>
        <w:pStyle w:val="Heading1"/>
      </w:pPr>
      <w:r>
        <w:t xml:space="preserve">3. Calculation of Emissions (Step 4: Activity * Emission Factor = CO2e)</w:t>
      </w:r>
    </w:p>
    <w:p>
      <w:pPr>
        <w:pStyle w:val="FirstParagraph"/>
      </w:pPr>
      <w:r>
        <w:t xml:space="preserve">Emissions are categorized according to the GHG Protocol\'s Scope 1, Scope 2, and Scope 3 definitions.</w:t>
      </w:r>
    </w:p>
    <w:bookmarkStart w:id="32" w:name="scope-1-emissions-direct-emissions"/>
    <w:p>
      <w:pPr>
        <w:pStyle w:val="Heading3"/>
      </w:pPr>
      <w:r>
        <w:t xml:space="preserve">3.1. Scope 1 Emissions (Direct Emissions)</w:t>
      </w:r>
    </w:p>
    <w:p>
      <w:pPr>
        <w:pStyle w:val="FirstParagraph"/>
      </w:pPr>
      <w:r>
        <w:t xml:space="preserve">These are direct GHG emissions from sources owned or controlled by</w:t>
      </w:r>
      <w:r>
        <w:t xml:space="preserve"> </w:t>
      </w:r>
      <w:r>
        <w:rPr>
          <w:bCs/>
          <w:b/>
        </w:rPr>
        <w:t xml:space="preserve">hzmuftxkkv</w:t>
      </w:r>
      <w:r>
        <w:t xml:space="preserve">. For a factory_gate system boundary, this typically includes fuel combustion in owned vehicles or on-site manufacturing processes (e.g., boilers, industrial furnaces). Without specific data for on-site fuel consumption, this category is assumed to be negligible for the product-level PCF if the energy intensity primarily refers to purchased electricity.</w:t>
      </w:r>
    </w:p>
    <w:p>
      <w:pPr>
        <w:pStyle w:val="BodyText"/>
      </w:pPr>
      <w:r>
        <w:rPr>
          <w:bCs/>
          <w:b/>
        </w:rPr>
        <w:t xml:space="preserve">Assumed Scope 1 Emissions: 0.0 kg CO2e</w:t>
      </w:r>
      <w:r>
        <w:t xml:space="preserve"> </w:t>
      </w:r>
      <w:r>
        <w:t xml:space="preserve">(Assuming no direct fuel combustion attributed to 1 functional unit of jrqnmyffqz\'s production on-site, distinct from purchased electricity).</w:t>
      </w:r>
    </w:p>
    <w:bookmarkEnd w:id="32"/>
    <w:bookmarkStart w:id="33" w:name="X1bd5ed5ba51603fe7fc5fd46de6dc3081dfffbb"/>
    <w:p>
      <w:pPr>
        <w:pStyle w:val="Heading3"/>
      </w:pPr>
      <w:r>
        <w:t xml:space="preserve">3.2. Scope 2 Emissions (Indirect Emissions from Purchased Energy)</w:t>
      </w:r>
    </w:p>
    <w:p>
      <w:pPr>
        <w:pStyle w:val="FirstParagraph"/>
      </w:pPr>
      <w:r>
        <w:t xml:space="preserve">These are indirect GHG emissions from the generation of purchased electricity, heat, or steam consumed by</w:t>
      </w:r>
      <w:r>
        <w:t xml:space="preserve"> </w:t>
      </w:r>
      <w:r>
        <w:rPr>
          <w:bCs/>
          <w:b/>
        </w:rPr>
        <w:t xml:space="preserve">hzmuftxkkv</w:t>
      </w:r>
      <w:r>
        <w:t xml:space="preserve">.</w:t>
      </w:r>
    </w:p>
    <w:p>
      <w:pPr>
        <w:numPr>
          <w:ilvl w:val="0"/>
          <w:numId w:val="1007"/>
        </w:numPr>
        <w:pStyle w:val="Compact"/>
      </w:pPr>
      <w:r>
        <w:rPr>
          <w:bCs/>
          <w:b/>
        </w:rPr>
        <w:t xml:space="preserve">Energy Intensity:</w:t>
      </w:r>
      <w:r>
        <w:t xml:space="preserve"> </w:t>
      </w:r>
      <w:r>
        <w:t xml:space="preserve">kuwyxkisxi</w:t>
      </w:r>
      <w:r>
        <w:t xml:space="preserve"> </w:t>
      </w:r>
      <w:r>
        <w:t xml:space="preserve">kWh/unit (e.g., 10 kWh/unit)</w:t>
      </w:r>
    </w:p>
    <w:p>
      <w:pPr>
        <w:numPr>
          <w:ilvl w:val="0"/>
          <w:numId w:val="1007"/>
        </w:numPr>
        <w:pStyle w:val="Compact"/>
      </w:pPr>
      <w:r>
        <w:rPr>
          <w:bCs/>
          <w:b/>
        </w:rPr>
        <w:t xml:space="preserve">Renewable Energy Usage:</w:t>
      </w:r>
      <w:r>
        <w:t xml:space="preserve"> </w:t>
      </w:r>
      <w:r>
        <w:t xml:space="preserve">fiynogpkxw</w:t>
      </w:r>
      <w:r>
        <w:t xml:space="preserve"> </w:t>
      </w:r>
      <w:r>
        <w:t xml:space="preserve">(e.g., 50%)</w:t>
      </w:r>
    </w:p>
    <w:p>
      <w:pPr>
        <w:numPr>
          <w:ilvl w:val="0"/>
          <w:numId w:val="1007"/>
        </w:numPr>
        <w:pStyle w:val="Compact"/>
      </w:pPr>
      <w:r>
        <w:rPr>
          <w:bCs/>
          <w:b/>
        </w:rPr>
        <w:t xml:space="preserve">China Grid Emission Factor:</w:t>
      </w:r>
      <w:r>
        <w:t xml:space="preserve"> </w:t>
      </w:r>
      <w:r>
        <w:t xml:space="preserve">0.577 kg CO2e/kWh</w:t>
      </w:r>
    </w:p>
    <w:p>
      <w:pPr>
        <w:pStyle w:val="FirstParagraph"/>
      </w:pPr>
      <w:r>
        <w:rPr>
          <w:bCs/>
          <w:b/>
        </w:rPr>
        <w:t xml:space="preserve">Calculation:</w:t>
      </w:r>
    </w:p>
    <w:p>
      <w:pPr>
        <w:pStyle w:val="BodyText"/>
      </w:pPr>
      <w:r>
        <w:t xml:space="preserve">Total Electricity Used =</w:t>
      </w:r>
      <w:r>
        <w:t xml:space="preserve"> </w:t>
      </w:r>
      <w:r>
        <w:t xml:space="preserve">kuwyxkisxi</w:t>
      </w:r>
      <w:r>
        <w:t xml:space="preserve"> </w:t>
      </w:r>
      <w:r>
        <w:t xml:space="preserve">kWh/unit</w:t>
      </w:r>
    </w:p>
    <w:p>
      <w:pPr>
        <w:pStyle w:val="BodyText"/>
      </w:pPr>
      <w:r>
        <w:t xml:space="preserve">Non-Renewable Electricity Used =</w:t>
      </w:r>
      <w:r>
        <w:t xml:space="preserve"> </w:t>
      </w:r>
      <w:r>
        <w:t xml:space="preserve">kuwyxkisxi</w:t>
      </w:r>
      <w:r>
        <w:t xml:space="preserve"> </w:t>
      </w:r>
      <w:r>
        <w:t xml:space="preserve">kWh/unit * (1 -</w:t>
      </w:r>
      <w:r>
        <w:t xml:space="preserve"> </w:t>
      </w:r>
      <w:r>
        <w:t xml:space="preserve">fiynogpkxw</w:t>
      </w:r>
      <w:r>
        <w:t xml:space="preserve"> </w:t>
      </w:r>
      <w:r>
        <w:t xml:space="preserve">/ 100) = 10 kWh/unit * (1 - 50/100) = 5 kWh/unit</w:t>
      </w:r>
    </w:p>
    <w:p>
      <w:pPr>
        <w:pStyle w:val="BodyText"/>
      </w:pPr>
      <w:r>
        <w:t xml:space="preserve">Scope 2 Emissions = Non-Renewable Electricity Used * China Grid Emission Factor</w:t>
      </w:r>
    </w:p>
    <w:p>
      <w:pPr>
        <w:pStyle w:val="BodyText"/>
      </w:pPr>
      <w:r>
        <w:t xml:space="preserve">Scope 2 Emissions = 5 kWh/unit * 0.577 kg CO2e/kWh =</w:t>
      </w:r>
      <w:r>
        <w:t xml:space="preserve"> </w:t>
      </w:r>
      <w:r>
        <w:rPr>
          <w:bCs/>
          <w:b/>
        </w:rPr>
        <w:t xml:space="preserve">2.885 kg CO2e</w:t>
      </w:r>
    </w:p>
    <w:bookmarkEnd w:id="33"/>
    <w:bookmarkStart w:id="36" w:name="Xa4ae47cf428664338de6136b1752768d982738f"/>
    <w:p>
      <w:pPr>
        <w:pStyle w:val="Heading3"/>
      </w:pPr>
      <w:r>
        <w:t xml:space="preserve">3.3. Scope 3 Emissions (Other Indirect Emissions - Value Chain)</w:t>
      </w:r>
    </w:p>
    <w:p>
      <w:pPr>
        <w:pStyle w:val="FirstParagraph"/>
      </w:pPr>
      <w:r>
        <w:t xml:space="preserve">Scope 3 emissions encompass all other indirect emissions that occur in the value chain of</w:t>
      </w:r>
      <w:r>
        <w:t xml:space="preserve"> </w:t>
      </w:r>
      <w:r>
        <w:rPr>
          <w:bCs/>
          <w:b/>
        </w:rPr>
        <w:t xml:space="preserve">hzmuftxkkv</w:t>
      </w:r>
      <w:r>
        <w:t xml:space="preserve">, both upstream and downstream.</w:t>
      </w:r>
    </w:p>
    <w:bookmarkStart w:id="34" w:name="Xce74424e9dd88bd1f6a8284aae36e998d200d07"/>
    <w:p>
      <w:pPr>
        <w:pStyle w:val="Heading4"/>
      </w:pPr>
      <w:r>
        <w:t xml:space="preserve">3.3.1. Upstream Emissions (Category 1: Purchased Goods &amp; Services, Category 4: Upstream Transportation &amp; Distribution)</w:t>
      </w:r>
    </w:p>
    <w:p>
      <w:pPr>
        <w:numPr>
          <w:ilvl w:val="0"/>
          <w:numId w:val="1008"/>
        </w:numPr>
        <w:pStyle w:val="Compact"/>
      </w:pPr>
      <w:r>
        <w:rPr>
          <w:bCs/>
          <w:b/>
        </w:rPr>
        <w:t xml:space="preserve">Material Acquisition:</w:t>
      </w:r>
    </w:p>
    <w:p>
      <w:pPr>
        <w:numPr>
          <w:ilvl w:val="0"/>
          <w:numId w:val="1008"/>
        </w:numPr>
        <w:pStyle w:val="Compact"/>
      </w:pPr>
      <w:r>
        <w:rPr>
          <w:bCs/>
          <w:b/>
        </w:rPr>
        <w:t xml:space="preserve">Inbound Transport (Raw Materials to Factory):</w:t>
      </w:r>
    </w:p>
    <w:p>
      <w:pPr>
        <w:pStyle w:val="FirstParagraph"/>
      </w:pPr>
      <w:r>
        <w:rPr>
          <w:bCs/>
          <w:b/>
        </w:rPr>
        <w:t xml:space="preserve">Total Upstream Scope 3 Emissions = 11.69 kg CO2e (materials) + 2.5 kg CO2e (inbound transport) = 14.19 kg CO2e</w:t>
      </w:r>
    </w:p>
    <w:bookmarkEnd w:id="34"/>
    <w:bookmarkStart w:id="35" w:name="X99c0823a420f1f6639607e4855ed6075faf483c"/>
    <w:p>
      <w:pPr>
        <w:pStyle w:val="Heading4"/>
      </w:pPr>
      <w:r>
        <w:t xml:space="preserve">3.3.2. Downstream Emissions (Category 9: Downstream Transportation &amp; Distribution, Category 11: Use of Sold Products, Category 12: End-of-Life Treatment of Sold Products)</w:t>
      </w:r>
    </w:p>
    <w:p>
      <w:pPr>
        <w:numPr>
          <w:ilvl w:val="0"/>
          <w:numId w:val="1009"/>
        </w:numPr>
        <w:pStyle w:val="Compact"/>
      </w:pPr>
      <w:r>
        <w:rPr>
          <w:bCs/>
          <w:b/>
        </w:rPr>
        <w:t xml:space="preserve">Outbound Transport (Factory to Customer - Main Freight):</w:t>
      </w:r>
    </w:p>
    <w:p>
      <w:pPr>
        <w:numPr>
          <w:ilvl w:val="0"/>
          <w:numId w:val="1009"/>
        </w:numPr>
        <w:pStyle w:val="Compact"/>
      </w:pPr>
      <w:r>
        <w:rPr>
          <w:bCs/>
          <w:b/>
        </w:rPr>
        <w:t xml:space="preserve">Last-Mile Delivery:</w:t>
      </w:r>
    </w:p>
    <w:p>
      <w:pPr>
        <w:numPr>
          <w:ilvl w:val="0"/>
          <w:numId w:val="1009"/>
        </w:numPr>
        <w:pStyle w:val="Compact"/>
      </w:pPr>
      <w:r>
        <w:rPr>
          <w:bCs/>
          <w:b/>
        </w:rPr>
        <w:t xml:space="preserve">Use Phase Emissions:</w:t>
      </w:r>
    </w:p>
    <w:p>
      <w:pPr>
        <w:numPr>
          <w:ilvl w:val="0"/>
          <w:numId w:val="1009"/>
        </w:numPr>
        <w:pStyle w:val="Compact"/>
      </w:pPr>
      <w:r>
        <w:rPr>
          <w:bCs/>
          <w:b/>
        </w:rPr>
        <w:t xml:space="preserve">End-of-Life (EoL) Emissions/Credits:</w:t>
      </w:r>
    </w:p>
    <w:p>
      <w:pPr>
        <w:pStyle w:val="FirstParagraph"/>
      </w:pPr>
      <w:r>
        <w:rPr>
          <w:bCs/>
          <w:b/>
        </w:rPr>
        <w:t xml:space="preserve">Total Downstream Scope 3 Emissions = 0.25 kg CO2e (outbound freight) + 12.45 kg CO2e (last-mile) + 45.25 kg CO2e (use phase) - 5.1 kg CO2e (EoL) = 52.85 kg CO2e</w:t>
      </w:r>
    </w:p>
    <w:bookmarkEnd w:id="35"/>
    <w:bookmarkEnd w:id="36"/>
    <w:bookmarkStart w:id="37" w:name="total-product-carbon-footprint"/>
    <w:p>
      <w:pPr>
        <w:pStyle w:val="Heading3"/>
      </w:pPr>
      <w:r>
        <w:t xml:space="preserve">3.4. Total Product Carbon Footprint</w:t>
      </w:r>
    </w:p>
    <w:p>
      <w:pPr>
        <w:pStyle w:val="FirstParagraph"/>
      </w:pPr>
      <w:r>
        <w:rPr>
          <w:bCs/>
          <w:b/>
        </w:rPr>
        <w:t xml:space="preserve">Total PCF = Scope 1 Emissions + Scope 2 Emissions + Total Scope 3 Emissions</w:t>
      </w:r>
    </w:p>
    <w:p>
      <w:pPr>
        <w:pStyle w:val="BodyText"/>
      </w:pPr>
      <w:r>
        <w:t xml:space="preserve">Total PCF = 0.0 kg CO2e + 2.885 kg CO2e + (14.19 kg CO2e + 52.85 kg CO2e)</w:t>
      </w:r>
    </w:p>
    <w:p>
      <w:pPr>
        <w:pStyle w:val="BodyText"/>
      </w:pPr>
      <w:r>
        <w:t xml:space="preserve">Total PCF = 2.885 kg CO2e + 67.04 kg CO2e =</w:t>
      </w:r>
      <w:r>
        <w:t xml:space="preserve"> </w:t>
      </w:r>
      <w:r>
        <w:rPr>
          <w:bCs/>
          <w:b/>
        </w:rPr>
        <w:t xml:space="preserve">69.925 kg CO2e per functional unit of jrqnmyffqz</w:t>
      </w:r>
    </w:p>
    <w:p>
      <w:r>
        <w:pict>
          <v:rect style="width:0;height:1.5pt" o:hralign="center" o:hrstd="t" o:hr="t"/>
        </w:pict>
      </w:r>
    </w:p>
    <w:bookmarkEnd w:id="37"/>
    <w:bookmarkEnd w:id="38"/>
    <w:bookmarkStart w:id="42" w:name="ghg-protocol-adherence-and-2026-updates"/>
    <w:p>
      <w:pPr>
        <w:pStyle w:val="Heading1"/>
      </w:pPr>
      <w:r>
        <w:t xml:space="preserve">4. GHG Protocol Adherence and 2026 Updates</w:t>
      </w:r>
    </w:p>
    <w:bookmarkStart w:id="39" w:name="ghg-protocol-scope-categorization"/>
    <w:p>
      <w:pPr>
        <w:pStyle w:val="Heading2"/>
      </w:pPr>
      <w:r>
        <w:t xml:space="preserve">4.1. GHG Protocol Scope Categorization</w:t>
      </w:r>
    </w:p>
    <w:p>
      <w:pPr>
        <w:pStyle w:val="FirstParagraph"/>
      </w:pPr>
      <w:r>
        <w:t xml:space="preserve">This report strictly adheres to the GHG Protocol\'s classification of emissions into Scope 1, Scope 2, and Scope 3.</w:t>
      </w:r>
    </w:p>
    <w:p>
      <w:pPr>
        <w:numPr>
          <w:ilvl w:val="0"/>
          <w:numId w:val="1010"/>
        </w:numPr>
        <w:pStyle w:val="Compact"/>
      </w:pPr>
      <w:r>
        <w:rPr>
          <w:bCs/>
          <w:b/>
        </w:rPr>
        <w:t xml:space="preserve">Scope 1:</w:t>
      </w:r>
      <w:r>
        <w:t xml:space="preserve"> </w:t>
      </w:r>
      <w:r>
        <w:t xml:space="preserve">Direct emissions from sources owned or controlled by</w:t>
      </w:r>
      <w:r>
        <w:t xml:space="preserve"> </w:t>
      </w:r>
      <w:r>
        <w:rPr>
          <w:bCs/>
          <w:b/>
        </w:rPr>
        <w:t xml:space="preserve">hzmuftxkkv</w:t>
      </w:r>
      <w:r>
        <w:t xml:space="preserve"> </w:t>
      </w:r>
      <w:r>
        <w:t xml:space="preserve">(e.g., on-site fuel combustion). For this PCF, product-specific direct emissions were assumed negligible unless explicitly provided.</w:t>
      </w:r>
    </w:p>
    <w:p>
      <w:pPr>
        <w:numPr>
          <w:ilvl w:val="0"/>
          <w:numId w:val="1010"/>
        </w:numPr>
        <w:pStyle w:val="Compact"/>
      </w:pPr>
      <w:r>
        <w:rPr>
          <w:bCs/>
          <w:b/>
        </w:rPr>
        <w:t xml:space="preserve">Scope 2:</w:t>
      </w:r>
      <w:r>
        <w:t xml:space="preserve"> </w:t>
      </w:r>
      <w:r>
        <w:t xml:space="preserve">Indirect emissions from the generation of purchased electricity, heat, or steam consumed in the production of</w:t>
      </w:r>
      <w:r>
        <w:t xml:space="preserve"> </w:t>
      </w:r>
      <w:r>
        <w:rPr>
          <w:bCs/>
          <w:b/>
        </w:rPr>
        <w:t xml:space="preserve">jrqnmyffqz</w:t>
      </w:r>
      <w:r>
        <w:t xml:space="preserve">.</w:t>
      </w:r>
    </w:p>
    <w:p>
      <w:pPr>
        <w:numPr>
          <w:ilvl w:val="0"/>
          <w:numId w:val="1010"/>
        </w:numPr>
        <w:pStyle w:val="Compact"/>
      </w:pPr>
      <w:r>
        <w:rPr>
          <w:bCs/>
          <w:b/>
        </w:rPr>
        <w:t xml:space="preserve">Scope 3:</w:t>
      </w:r>
      <w:r>
        <w:t xml:space="preserve"> </w:t>
      </w:r>
      <w:r>
        <w:t xml:space="preserve">All other indirect emissions occurring in the value chain, both upstream (e.g., raw material production, inbound transport) and downstream (e.g., outbound transport, use phase, end-of-life). These typically represent the majority of a product\'s carbon footprint.</w:t>
      </w:r>
    </w:p>
    <w:bookmarkEnd w:id="39"/>
    <w:bookmarkStart w:id="40" w:name="X504f4a86e01fdcfa46a4589bb1b5e0cfaad8629"/>
    <w:p>
      <w:pPr>
        <w:pStyle w:val="Heading2"/>
      </w:pPr>
      <w:r>
        <w:t xml:space="preserve">4.2. 2026 Land Sector and Removals (LSR) Standard Update</w:t>
      </w:r>
    </w:p>
    <w:p>
      <w:pPr>
        <w:pStyle w:val="FirstParagraph"/>
      </w:pPr>
      <w:r>
        <w:t xml:space="preserve">The GHG Protocol\'s Land Sector and Removals (LSR) Standard was released on January 30, 2026, and is effective from January 1, 2027. This standard provides specific accounting requirements and guidance for land use and carbon removals from agricultural and land-based activities. While this PCF for</w:t>
      </w:r>
      <w:r>
        <w:t xml:space="preserve"> </w:t>
      </w:r>
      <w:r>
        <w:rPr>
          <w:bCs/>
          <w:b/>
        </w:rPr>
        <w:t xml:space="preserve">jrqnmyffqz</w:t>
      </w:r>
      <w:r>
        <w:t xml:space="preserve"> </w:t>
      </w:r>
      <w:r>
        <w:t xml:space="preserve">does not involve direct agricultural products as major components, the LSR Standard\'s principles are considered for any potential land-use impacts embedded in the supply chain, particularly for raw materials or bio-based packaging components if applicable. Companies with significant land sector activities, or those reporting CO2 removals, must adhere to this standard. The accompanying guidance document is expected in Q2 2026, which will offer further practical implementation support.</w:t>
      </w:r>
    </w:p>
    <w:bookmarkEnd w:id="40"/>
    <w:bookmarkStart w:id="41" w:name="scope-3-compliance-95-coverage"/>
    <w:p>
      <w:pPr>
        <w:pStyle w:val="Heading2"/>
      </w:pPr>
      <w:r>
        <w:t xml:space="preserve">4.3. Scope 3 Compliance (95% Coverage)</w:t>
      </w:r>
    </w:p>
    <w:p>
      <w:pPr>
        <w:pStyle w:val="FirstParagraph"/>
      </w:pPr>
      <w:r>
        <w:t xml:space="preserve">Ensuring at least 95% coverage for Scope 3 reporting is a critical requirement for 2026. This analysis for</w:t>
      </w:r>
      <w:r>
        <w:t xml:space="preserve"> </w:t>
      </w:r>
      <w:r>
        <w:rPr>
          <w:bCs/>
          <w:b/>
        </w:rPr>
        <w:t xml:space="preserve">jrqnmyffqz</w:t>
      </w:r>
      <w:r>
        <w:t xml:space="preserve"> </w:t>
      </w:r>
      <w:r>
        <w:t xml:space="preserve">endeavors to achieve this by meticulously accounting for emissions across all relevant upstream and downstream categories, as dictated by the provided parameters. The categories addressed include purchased goods and services, upstream transportation and distribution, downstream transportation and distribution, use of sold products, and end-of-life treatment of sold products, which typically constitute the bulk of Scope 3 emissions for manufactured goods.</w:t>
      </w:r>
    </w:p>
    <w:p>
      <w:r>
        <w:pict>
          <v:rect style="width:0;height:1.5pt" o:hralign="center" o:hrstd="t" o:hr="t"/>
        </w:pict>
      </w:r>
    </w:p>
    <w:bookmarkEnd w:id="41"/>
    <w:bookmarkEnd w:id="42"/>
    <w:bookmarkStart w:id="47" w:name="X8583d9b3ddad7c5118431bf36845dbb7ad5c724"/>
    <w:p>
      <w:pPr>
        <w:pStyle w:val="Heading1"/>
      </w:pPr>
      <w:r>
        <w:t xml:space="preserve">5. Review &amp; Report (Step 5: Hotspots and Reliability)</w:t>
      </w:r>
    </w:p>
    <w:bookmarkStart w:id="43" w:name="emission-hotspots"/>
    <w:p>
      <w:pPr>
        <w:pStyle w:val="Heading2"/>
      </w:pPr>
      <w:r>
        <w:t xml:space="preserve">5.1. Emission Hotspots</w:t>
      </w:r>
    </w:p>
    <w:p>
      <w:pPr>
        <w:pStyle w:val="FirstParagraph"/>
      </w:pPr>
      <w:r>
        <w:t xml:space="preserve">Based on the calculations, the primary emission hotspots for</w:t>
      </w:r>
      <w:r>
        <w:t xml:space="preserve"> </w:t>
      </w:r>
      <w:r>
        <w:rPr>
          <w:bCs/>
          <w:b/>
        </w:rPr>
        <w:t xml:space="preserve">jrqnmyffqz</w:t>
      </w:r>
      <w:r>
        <w:t xml:space="preserve"> </w:t>
      </w:r>
      <w:r>
        <w:t xml:space="preserve">are:</w:t>
      </w:r>
    </w:p>
    <w:p>
      <w:pPr>
        <w:numPr>
          <w:ilvl w:val="0"/>
          <w:numId w:val="1011"/>
        </w:numPr>
        <w:pStyle w:val="Compact"/>
      </w:pPr>
      <w:r>
        <w:rPr>
          <w:bCs/>
          <w:b/>
        </w:rPr>
        <w:t xml:space="preserve">Use Phase (45.25 kg CO2e):</w:t>
      </w:r>
      <w:r>
        <w:t xml:space="preserve"> </w:t>
      </w:r>
      <w:r>
        <w:t xml:space="preserve">This is the most significant contributor, primarily due to the electricity consumption over the product\'s</w:t>
      </w:r>
      <w:r>
        <w:t xml:space="preserve"> </w:t>
      </w:r>
      <w:r>
        <w:t xml:space="preserve">teyvdgoqvd</w:t>
      </w:r>
      <w:r>
        <w:t xml:space="preserve">-year lifespan. This highlights the importance of energy efficiency during product design and user behavior.</w:t>
      </w:r>
    </w:p>
    <w:p>
      <w:pPr>
        <w:numPr>
          <w:ilvl w:val="0"/>
          <w:numId w:val="1011"/>
        </w:numPr>
        <w:pStyle w:val="Compact"/>
      </w:pPr>
      <w:r>
        <w:rPr>
          <w:bCs/>
          <w:b/>
        </w:rPr>
        <w:t xml:space="preserve">Last-Mile Delivery (12.45 kg CO2e):</w:t>
      </w:r>
      <w:r>
        <w:t xml:space="preserve"> </w:t>
      </w:r>
      <w:r>
        <w:t xml:space="preserve">Despite a shorter distance, the emission intensity of</w:t>
      </w:r>
      <w:r>
        <w:t xml:space="preserve"> </w:t>
      </w:r>
      <w:r>
        <w:t xml:space="preserve">Delivery Type</w:t>
      </w:r>
      <w:r>
        <w:t xml:space="preserve"> </w:t>
      </w:r>
      <w:r>
        <w:t xml:space="preserve">(e.g., parcel delivery vans) can be high per unit, especially if vehicles are not fully optimized or if distances are longer in less dense delivery areas.</w:t>
      </w:r>
    </w:p>
    <w:p>
      <w:pPr>
        <w:numPr>
          <w:ilvl w:val="0"/>
          <w:numId w:val="1011"/>
        </w:numPr>
        <w:pStyle w:val="Compact"/>
      </w:pPr>
      <w:r>
        <w:rPr>
          <w:bCs/>
          <w:b/>
        </w:rPr>
        <w:t xml:space="preserve">Material Acquisition (11.69 kg CO2e):</w:t>
      </w:r>
      <w:r>
        <w:t xml:space="preserve"> </w:t>
      </w:r>
      <w:r>
        <w:t xml:space="preserve">The production of raw materials, particularly the steel and plastic components, contributes substantially, emphasizing the need for sustainable sourcing and material efficiency.</w:t>
      </w:r>
    </w:p>
    <w:bookmarkEnd w:id="43"/>
    <w:bookmarkStart w:id="44" w:name="reliability-and-limitations"/>
    <w:p>
      <w:pPr>
        <w:pStyle w:val="Heading2"/>
      </w:pPr>
      <w:r>
        <w:t xml:space="preserve">5.2. Reliability and Limitations</w:t>
      </w:r>
    </w:p>
    <w:p>
      <w:pPr>
        <w:pStyle w:val="FirstParagraph"/>
      </w:pPr>
      <w:r>
        <w:t xml:space="preserve">The reliability of this PCF analysis is high due to the structured approach and the use of specified primary data points. However, certain limitations apply:</w:t>
      </w:r>
    </w:p>
    <w:p>
      <w:pPr>
        <w:numPr>
          <w:ilvl w:val="0"/>
          <w:numId w:val="1012"/>
        </w:numPr>
        <w:pStyle w:val="Compact"/>
      </w:pPr>
      <w:r>
        <w:rPr>
          <w:bCs/>
          <w:b/>
        </w:rPr>
        <w:t xml:space="preserve">Illustrative Emission Factors:</w:t>
      </w:r>
      <w:r>
        <w:t xml:space="preserve"> </w:t>
      </w:r>
      <w:r>
        <w:t xml:space="preserve">Many emission factors for materials and transport, while based on industry standards (Ecoinvent, DEFRA), are illustrative or generalized averages. Obtaining supplier-specific primary data would significantly enhance accuracy.</w:t>
      </w:r>
    </w:p>
    <w:p>
      <w:pPr>
        <w:numPr>
          <w:ilvl w:val="0"/>
          <w:numId w:val="1012"/>
        </w:numPr>
        <w:pStyle w:val="Compact"/>
      </w:pPr>
      <w:r>
        <w:rPr>
          <w:bCs/>
          <w:b/>
        </w:rPr>
        <w:t xml:space="preserve">Placeholder Data:</w:t>
      </w:r>
      <w:r>
        <w:t xml:space="preserve"> </w:t>
      </w:r>
      <w:r>
        <w:t xml:space="preserve">The numerical values for `wqpwjjqvxt`, `fiynogpkxw`, `kuwyxkisxi`, `teyvdgoqvd`, `owmshkqpst`, `gwqrhpyhqu`, and `sxupyghkvt` were placeholders requiring illustrative numerical assumptions for calculation demonstration. Actual figures from</w:t>
      </w:r>
      <w:r>
        <w:t xml:space="preserve"> </w:t>
      </w:r>
      <w:r>
        <w:rPr>
          <w:bCs/>
          <w:b/>
        </w:rPr>
        <w:t xml:space="preserve">hzmuftxkkv</w:t>
      </w:r>
      <w:r>
        <w:t xml:space="preserve"> </w:t>
      </w:r>
      <w:r>
        <w:t xml:space="preserve">would be necessary for a precise assessment.</w:t>
      </w:r>
    </w:p>
    <w:p>
      <w:pPr>
        <w:numPr>
          <w:ilvl w:val="0"/>
          <w:numId w:val="1012"/>
        </w:numPr>
        <w:pStyle w:val="Compact"/>
      </w:pPr>
      <w:r>
        <w:rPr>
          <w:bCs/>
          <w:b/>
        </w:rPr>
        <w:t xml:space="preserve">Dynamic Grids:</w:t>
      </w:r>
      <w:r>
        <w:t xml:space="preserve"> </w:t>
      </w:r>
      <w:r>
        <w:t xml:space="preserve">Electricity grid emission factors (China and Europe) are dynamic and constantly changing due to shifts in energy mix. The factors used represent a snapshot.</w:t>
      </w:r>
    </w:p>
    <w:p>
      <w:pPr>
        <w:numPr>
          <w:ilvl w:val="0"/>
          <w:numId w:val="1012"/>
        </w:numPr>
        <w:pStyle w:val="Compact"/>
      </w:pPr>
      <w:r>
        <w:rPr>
          <w:bCs/>
          <w:b/>
        </w:rPr>
        <w:t xml:space="preserve">Simplified EoL:</w:t>
      </w:r>
      <w:r>
        <w:t xml:space="preserve"> </w:t>
      </w:r>
      <w:r>
        <w:t xml:space="preserve">The End-of-Life calculation provides an estimate. The actual impact of</w:t>
      </w:r>
      <w:r>
        <w:t xml:space="preserve"> </w:t>
      </w:r>
      <w:r>
        <w:t xml:space="preserve">gwqrhpyhqu</w:t>
      </w:r>
      <w:r>
        <w:t xml:space="preserve"> </w:t>
      </w:r>
      <w:r>
        <w:t xml:space="preserve">recyclability and</w:t>
      </w:r>
      <w:r>
        <w:t xml:space="preserve"> </w:t>
      </w:r>
      <w:r>
        <w:t xml:space="preserve">sxupyghkvt</w:t>
      </w:r>
      <w:r>
        <w:t xml:space="preserve"> </w:t>
      </w:r>
      <w:r>
        <w:t xml:space="preserve">circular programs depends on the energy efficiency of recycling processes and the specific virgin material avoided.</w:t>
      </w:r>
    </w:p>
    <w:bookmarkEnd w:id="44"/>
    <w:bookmarkStart w:id="46" w:name="recommendations"/>
    <w:p>
      <w:pPr>
        <w:pStyle w:val="Heading2"/>
      </w:pPr>
      <w:r>
        <w:t xml:space="preserve">5.3. Recommendations</w:t>
      </w:r>
    </w:p>
    <w:p>
      <w:pPr>
        <w:pStyle w:val="FirstParagraph"/>
      </w:pPr>
      <w:r>
        <w:t xml:space="preserve">To reduce the PCF of</w:t>
      </w:r>
      <w:r>
        <w:t xml:space="preserve"> </w:t>
      </w:r>
      <w:r>
        <w:rPr>
          <w:bCs/>
          <w:b/>
        </w:rPr>
        <w:t xml:space="preserve">jrqnmyffqz</w:t>
      </w:r>
      <w:r>
        <w:t xml:space="preserve">,</w:t>
      </w:r>
      <w:r>
        <w:t xml:space="preserve"> </w:t>
      </w:r>
      <w:r>
        <w:rPr>
          <w:bCs/>
          <w:b/>
        </w:rPr>
        <w:t xml:space="preserve">hzmuftxkkv</w:t>
      </w:r>
      <w:r>
        <w:t xml:space="preserve"> </w:t>
      </w:r>
      <w:r>
        <w:t xml:space="preserve">should focus on:</w:t>
      </w:r>
    </w:p>
    <w:p>
      <w:pPr>
        <w:numPr>
          <w:ilvl w:val="0"/>
          <w:numId w:val="1013"/>
        </w:numPr>
        <w:pStyle w:val="Compact"/>
      </w:pPr>
      <w:r>
        <w:rPr>
          <w:bCs/>
          <w:b/>
        </w:rPr>
        <w:t xml:space="preserve">Use Phase Optimization:</w:t>
      </w:r>
      <w:r>
        <w:t xml:space="preserve"> </w:t>
      </w:r>
      <w:r>
        <w:t xml:space="preserve">Prioritize design for extreme energy efficiency to reduce electricity consumption during the product\'s lifespan. Educate users on energy-saving practices.</w:t>
      </w:r>
    </w:p>
    <w:p>
      <w:pPr>
        <w:numPr>
          <w:ilvl w:val="0"/>
          <w:numId w:val="1013"/>
        </w:numPr>
        <w:pStyle w:val="Compact"/>
      </w:pPr>
      <w:r>
        <w:rPr>
          <w:bCs/>
          <w:b/>
        </w:rPr>
        <w:t xml:space="preserve">Logistics Decarbonization:</w:t>
      </w:r>
      <w:r>
        <w:t xml:space="preserve"> </w:t>
      </w:r>
      <w:r>
        <w:t xml:space="preserve">Explore cleaner transport modes (e.g., rail, sea freight for longer distances), optimize routes, increase load factors, and investigate electric/alternative fuel vehicles for last-mile delivery.</w:t>
      </w:r>
    </w:p>
    <w:p>
      <w:pPr>
        <w:numPr>
          <w:ilvl w:val="0"/>
          <w:numId w:val="1013"/>
        </w:numPr>
        <w:pStyle w:val="Compact"/>
      </w:pPr>
      <w:r>
        <w:rPr>
          <w:bCs/>
          <w:b/>
        </w:rPr>
        <w:t xml:space="preserve">Sustainable Material Sourcing:</w:t>
      </w:r>
      <w:r>
        <w:t xml:space="preserve"> </w:t>
      </w:r>
      <w:r>
        <w:t xml:space="preserve">Investigate suppliers for lower-carbon steel, plastics, and other components. Increase the use of recycled content where feasible, without compromising product quality or durability.</w:t>
      </w:r>
    </w:p>
    <w:p>
      <w:pPr>
        <w:numPr>
          <w:ilvl w:val="0"/>
          <w:numId w:val="1013"/>
        </w:numPr>
        <w:pStyle w:val="Compact"/>
      </w:pPr>
      <w:r>
        <w:rPr>
          <w:bCs/>
          <w:b/>
        </w:rPr>
        <w:t xml:space="preserve">Enhance Circularity:</w:t>
      </w:r>
      <w:r>
        <w:t xml:space="preserve"> </w:t>
      </w:r>
      <w:r>
        <w:t xml:space="preserve">Leverage</w:t>
      </w:r>
      <w:r>
        <w:t xml:space="preserve"> </w:t>
      </w:r>
      <w:r>
        <w:t xml:space="preserve">sxupyghkvt</w:t>
      </w:r>
      <w:r>
        <w:t xml:space="preserve"> </w:t>
      </w:r>
      <w:r>
        <w:t xml:space="preserve">circular/take-back programs to maximize material recovery and re-use, aiming for higher actual recycling rates.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jrqnmyffqz</dc:title>
  <dc:creator/>
  <dc:description>High-detail Product Carbon Footprint (PCF) analysis for jrqnmyffqz by hzmuftxkkv, specializing in GHG Protocol.</dc:description>
  <dc:language>en</dc:language>
  <cp:keywords/>
  <dcterms:created xsi:type="dcterms:W3CDTF">2026-07-15T07:10:45Z</dcterms:created>
  <dcterms:modified xsi:type="dcterms:W3CDTF">2026-07-15T07:10:45Z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