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jrqllminzo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jrqllminzo</w:t>
      </w:r>
    </w:p>
    <w:p>
      <w:pPr>
        <w:pStyle w:val="BodyText"/>
      </w:pPr>
      <w:r>
        <w:t xml:space="preserve">**Company:** sdmsfxwntp</w:t>
      </w:r>
    </w:p>
    <w:p>
      <w:pPr>
        <w:pStyle w:val="BodyText"/>
      </w:pPr>
      <w:r>
        <w:t xml:space="preserve">**Senior Sustainability Consultant:** ujnwpritoy</w:t>
      </w:r>
    </w:p>
    <w:p>
      <w:pPr>
        <w:pStyle w:val="BodyText"/>
      </w:pPr>
      <w:r>
        <w:t xml:space="preserve">**Protocol Data (Accounting Standard):** GHG Protocol</w:t>
      </w:r>
    </w:p>
    <w:p>
      <w:pPr>
        <w:pStyle w:val="BodyText"/>
      </w:pPr>
      <w:r>
        <w:t xml:space="preserve">*Disclaimer: This report is generated based on available data, industry-standard emission factors, and specific parameters provided. Where data was not explicitly provided for placeholder values, reasonable assumptions were made based on general industry practices and publicly available information to enable a comprehensive analysis.*</w:t>
      </w:r>
    </w:p>
    <w:bookmarkEnd w:id="20"/>
    <w:bookmarkStart w:id="21" w:name="Xd558204cf286819fa22ca914050dd0818104c48"/>
    <w:p>
      <w:pPr>
        <w:pStyle w:val="Heading1"/>
      </w:pPr>
      <w:r>
        <w:t xml:space="preserve">Product Carbon Footprint Report for jrqllminzo</w:t>
      </w:r>
    </w:p>
    <w:p>
      <w:pPr>
        <w:pStyle w:val="FirstParagraph"/>
      </w:pPr>
      <w:r>
        <w:rPr>
          <w:bCs/>
          <w:b/>
        </w:rPr>
        <w:t xml:space="preserve">Generated Date:</w:t>
      </w:r>
      <w:r>
        <w:t xml:space="preserve"> </w:t>
      </w:r>
      <w:r>
        <w:t xml:space="preserve">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jrqllminzo</w:t>
      </w:r>
      <w:r>
        <w:t xml:space="preserve">, manufactured by</w:t>
      </w:r>
      <w:r>
        <w:t xml:space="preserve"> </w:t>
      </w:r>
      <w:r>
        <w:rPr>
          <w:bCs/>
          <w:b/>
        </w:rPr>
        <w:t xml:space="preserve">sdmsfxwntp</w:t>
      </w:r>
      <w:r>
        <w:t xml:space="preserve">. The analysis was conducted by</w:t>
      </w:r>
      <w:r>
        <w:t xml:space="preserve"> </w:t>
      </w:r>
      <w:r>
        <w:rPr>
          <w:bCs/>
          <w:b/>
        </w:rPr>
        <w:t xml:space="preserve">ujnwpritoy</w:t>
      </w:r>
      <w:r>
        <w:t xml:space="preserve">, Senior Sustainability Consultant, specializing in the GHG Protocol. The objective was to quantify the greenhouse gas (GHG) emissions across the product\'s lifecycle, from raw material extraction to end-of-life, adhering strictly to the GHG Protocol. This assessment incorporates detailed Bill of Materials (BOM) data, specific logistics, energy consumption patterns, and end-of-life scenarios to provide a robust and actionable insight into the product\'s environmental impact. The total calculated Product Carbon Footprint for one functional unit of jrqllminzo is approximately</w:t>
      </w:r>
      <w:r>
        <w:t xml:space="preserve"> </w:t>
      </w:r>
      <w:r>
        <w:rPr>
          <w:bCs/>
          <w:b/>
        </w:rPr>
        <w:t xml:space="preserve">36.90 kgCO2e</w:t>
      </w:r>
      <w:r>
        <w:t xml:space="preserve">. The Use Phase and Material Acquisition emerged as significant contributors to the overall footprint.</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Product Carbon Footprint (PCF) study for jrqllminzo adheres to the principles of the GHG Protocol, specifically the Product Standard. The scope is defined as follows:</w:t>
      </w:r>
    </w:p>
    <w:p>
      <w:pPr>
        <w:numPr>
          <w:ilvl w:val="0"/>
          <w:numId w:val="1001"/>
        </w:numPr>
        <w:pStyle w:val="Compact"/>
      </w:pPr>
      <w:r>
        <w:rPr>
          <w:bCs/>
          <w:b/>
        </w:rPr>
        <w:t xml:space="preserve">Functional Unit:</w:t>
      </w:r>
      <w:r>
        <w:t xml:space="preserve"> </w:t>
      </w:r>
      <w:r>
        <w:t xml:space="preserve">1.0 unit of jrqllminzo.</w:t>
      </w:r>
    </w:p>
    <w:p>
      <w:pPr>
        <w:numPr>
          <w:ilvl w:val="0"/>
          <w:numId w:val="1001"/>
        </w:numPr>
        <w:pStyle w:val="Compact"/>
      </w:pPr>
      <w:r>
        <w:rPr>
          <w:bCs/>
          <w:b/>
        </w:rPr>
        <w:t xml:space="preserve">System Boundary:</w:t>
      </w:r>
      <w:r>
        <w:t xml:space="preserve"> </w:t>
      </w:r>
      <w:r>
        <w:t xml:space="preserve">Factory-gate to end-of-life (cradle-to-grave approach). This includes raw material acquisition, manufacturing, transportation to market, product use, and end-of-life treatment.</w:t>
      </w:r>
    </w:p>
    <w:p>
      <w:pPr>
        <w:numPr>
          <w:ilvl w:val="0"/>
          <w:numId w:val="1001"/>
        </w:numPr>
        <w:pStyle w:val="Compact"/>
      </w:pPr>
      <w:r>
        <w:rPr>
          <w:bCs/>
          <w:b/>
        </w:rPr>
        <w:t xml:space="preserve">Geographic Scope:</w:t>
      </w:r>
      <w:r>
        <w:t xml:space="preserve"> </w:t>
      </w:r>
      <w:r>
        <w:t xml:space="preserve">Final production in China, with a supply chain focus on Europe for transportation and end-of-life scenarios.</w:t>
      </w:r>
    </w:p>
    <w:p>
      <w:pPr>
        <w:numPr>
          <w:ilvl w:val="0"/>
          <w:numId w:val="1001"/>
        </w:numPr>
        <w:pStyle w:val="Compact"/>
      </w:pPr>
      <w:r>
        <w:rPr>
          <w:bCs/>
          <w:b/>
        </w:rPr>
        <w:t xml:space="preserve">Allocation:</w:t>
      </w:r>
      <w:r>
        <w:t xml:space="preserve"> </w:t>
      </w:r>
      <w:r>
        <w:t xml:space="preserve">All emissions are directly allocated to the functional unit of jrqllminzo. Where shared processes exist (e.g., manufacturing facilities), emissions are allocated based on energy intensity per unit.</w:t>
      </w:r>
    </w:p>
    <w:p>
      <w:pPr>
        <w:numPr>
          <w:ilvl w:val="0"/>
          <w:numId w:val="1001"/>
        </w:numPr>
        <w:pStyle w:val="Compact"/>
      </w:pPr>
      <w:r>
        <w:rPr>
          <w:bCs/>
          <w:b/>
        </w:rPr>
        <w:t xml:space="preserve">Accounting Standard:</w:t>
      </w:r>
      <w:r>
        <w:t xml:space="preserve"> </w:t>
      </w:r>
      <w:r>
        <w:t xml:space="preserve">This analysis strictly follows the</w:t>
      </w:r>
      <w:r>
        <w:t xml:space="preserve"> </w:t>
      </w:r>
      <w:r>
        <w:rPr>
          <w:bCs/>
          <w:b/>
        </w:rPr>
        <w:t xml:space="preserve">GHG Protocol</w:t>
      </w:r>
      <w:r>
        <w:t xml:space="preserve">. Emissions are categorized into Scope 1 (direct), Scope 2 (purchased energy), and Scope 3 (value chain) to ensure comprehensive reporting.</w:t>
      </w:r>
    </w:p>
    <w:p>
      <w:r>
        <w:pict>
          <v:rect style="width:0;height:1.5pt" o:hralign="center" o:hrstd="t" o:hr="t"/>
        </w:pict>
      </w:r>
    </w:p>
    <w:bookmarkEnd w:id="23"/>
    <w:bookmarkStart w:id="30" w:name="lifecycle-mapping-data-collection"/>
    <w:p>
      <w:pPr>
        <w:pStyle w:val="Heading2"/>
      </w:pPr>
      <w:r>
        <w:t xml:space="preserve">2. &amp; 3. Lifecycle Mapping &amp; Data Collection</w:t>
      </w:r>
    </w:p>
    <w:p>
      <w:pPr>
        <w:pStyle w:val="FirstParagraph"/>
      </w:pPr>
      <w:r>
        <w:t xml:space="preserve">The lifecycle of jrqllminzo has been mapped into the following stages, with primary and secondary data points collected as detailed below:</w:t>
      </w:r>
    </w:p>
    <w:bookmarkStart w:id="25" w:name="X6cabf50606720861dfc0d456c701d65f990a8d1"/>
    <w:p>
      <w:pPr>
        <w:pStyle w:val="Heading3"/>
      </w:pPr>
      <w:r>
        <w:t xml:space="preserve">2.1. Material Acquisition &amp; Pre-processing (Upstream)</w:t>
      </w:r>
    </w:p>
    <w:p>
      <w:pPr>
        <w:pStyle w:val="FirstParagraph"/>
      </w:pPr>
      <w:r>
        <w:t xml:space="preserve">This stage covers the extraction of raw materials and their transformation into components as specified in the Detailed Bill of Materials (BOM).</w:t>
      </w:r>
    </w:p>
    <w:bookmarkStart w:id="24" w:name="Xa1d4a1bd2cc91f7ace53a6f9d2f972d18701963"/>
    <w:p>
      <w:pPr>
        <w:pStyle w:val="Heading4"/>
      </w:pPr>
      <w:r>
        <w:t xml:space="preserve">Detailed Bill of Materials (BOM) for jrqllminzo (xpwtvwfr):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102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bCs/>
          <w:b/>
        </w:rPr>
        <w:t xml:space="preserve">Total Material Carbon from BOM:</w:t>
      </w:r>
      <w:r>
        <w:t xml:space="preserve"> </w:t>
      </w:r>
      <w:r>
        <w:t xml:space="preserve">5.24 kgCO2e.</w:t>
      </w:r>
    </w:p>
    <w:p>
      <w:pPr>
        <w:pStyle w:val="BodyText"/>
      </w:pPr>
      <w:r>
        <w:t xml:space="preserve">The BOM provides pre-calculated total carbon values, indicating a high level of accuracy for material impacts. These emissions are categorized under GHG Protocol Scope 3, Category 1 (Purchased Goods and Services).</w:t>
      </w:r>
    </w:p>
    <w:bookmarkEnd w:id="24"/>
    <w:bookmarkEnd w:id="25"/>
    <w:bookmarkStart w:id="26" w:name="manufacturingproduction"/>
    <w:p>
      <w:pPr>
        <w:pStyle w:val="Heading3"/>
      </w:pPr>
      <w:r>
        <w:t xml:space="preserve">2.2. Manufacturing/Production</w:t>
      </w:r>
    </w:p>
    <w:p>
      <w:pPr>
        <w:pStyle w:val="FirstParagraph"/>
      </w:pPr>
      <w:r>
        <w:t xml:space="preserve">This stage encompasses the assembly and production processes of jrqllminzo in China.</w:t>
      </w:r>
    </w:p>
    <w:p>
      <w:pPr>
        <w:numPr>
          <w:ilvl w:val="0"/>
          <w:numId w:val="1002"/>
        </w:numPr>
        <w:pStyle w:val="Compact"/>
      </w:pPr>
      <w:r>
        <w:rPr>
          <w:bCs/>
          <w:b/>
        </w:rPr>
        <w:t xml:space="preserve">Energy Intensity:</w:t>
      </w:r>
      <w:r>
        <w:t xml:space="preserve"> </w:t>
      </w:r>
      <w:r>
        <w:t xml:space="preserve">eifnesfekf (15 kWh/unit)</w:t>
      </w:r>
    </w:p>
    <w:p>
      <w:pPr>
        <w:numPr>
          <w:ilvl w:val="0"/>
          <w:numId w:val="1002"/>
        </w:numPr>
        <w:pStyle w:val="Compact"/>
      </w:pPr>
      <w:r>
        <w:rPr>
          <w:bCs/>
          <w:b/>
        </w:rPr>
        <w:t xml:space="preserve">Renewable Energy Usage:</w:t>
      </w:r>
      <w:r>
        <w:t xml:space="preserve"> </w:t>
      </w:r>
      <w:r>
        <w:t xml:space="preserve">ytlwwosmot (50%) of electricity for production.</w:t>
      </w:r>
    </w:p>
    <w:p>
      <w:pPr>
        <w:numPr>
          <w:ilvl w:val="0"/>
          <w:numId w:val="1002"/>
        </w:numPr>
        <w:pStyle w:val="Compact"/>
      </w:pPr>
      <w:r>
        <w:rPr>
          <w:bCs/>
          <w:b/>
        </w:rPr>
        <w:t xml:space="preserve">Electricity Emission Factor (China Grid):</w:t>
      </w:r>
      <w:r>
        <w:t xml:space="preserve"> </w:t>
      </w:r>
      <w:r>
        <w:t xml:space="preserve">A national average of 0.577 kgCO2e/kWh has been used for grid electricity in China, based on available data.</w:t>
      </w:r>
    </w:p>
    <w:bookmarkEnd w:id="26"/>
    <w:bookmarkStart w:id="27" w:name="transportation-and-distribution"/>
    <w:p>
      <w:pPr>
        <w:pStyle w:val="Heading3"/>
      </w:pPr>
      <w:r>
        <w:t xml:space="preserve">2.3. Transportation and Distribution</w:t>
      </w:r>
    </w:p>
    <w:p>
      <w:pPr>
        <w:pStyle w:val="FirstParagraph"/>
      </w:pPr>
      <w:r>
        <w:t xml:space="preserve">This covers the transportation of the finished product from the factory gate in China to the European market, including last-mile delivery.</w:t>
      </w:r>
    </w:p>
    <w:p>
      <w:pPr>
        <w:numPr>
          <w:ilvl w:val="0"/>
          <w:numId w:val="1003"/>
        </w:numPr>
        <w:pStyle w:val="Compact"/>
      </w:pPr>
      <w:r>
        <w:rPr>
          <w:bCs/>
          <w:b/>
        </w:rPr>
        <w:t xml:space="preserve">Product Weight (Assumed for Transport):</w:t>
      </w:r>
      <w:r>
        <w:t xml:space="preserve"> </w:t>
      </w:r>
      <w:r>
        <w:t xml:space="preserve">2 kg per functional unit.</w:t>
      </w:r>
    </w:p>
    <w:p>
      <w:pPr>
        <w:numPr>
          <w:ilvl w:val="0"/>
          <w:numId w:val="1003"/>
        </w:numPr>
        <w:pStyle w:val="Compact"/>
      </w:pPr>
      <w:r>
        <w:rPr>
          <w:bCs/>
          <w:b/>
        </w:rPr>
        <w:t xml:space="preserve">Main Transport Mode (from China to Europe):</w:t>
      </w:r>
      <w:r>
        <w:t xml:space="preserve"> </w:t>
      </w:r>
      <w:r>
        <w:t xml:space="preserve">Select Mode (assumed to be Road freight - Heavy Goods Vehicle (HGV) &gt;20t).</w:t>
      </w:r>
    </w:p>
    <w:p>
      <w:pPr>
        <w:numPr>
          <w:ilvl w:val="0"/>
          <w:numId w:val="1003"/>
        </w:numPr>
        <w:pStyle w:val="Compact"/>
      </w:pPr>
      <w:r>
        <w:rPr>
          <w:bCs/>
          <w:b/>
        </w:rPr>
        <w:t xml:space="preserve">Transport Distance:</w:t>
      </w:r>
      <w:r>
        <w:t xml:space="preserve"> </w:t>
      </w:r>
      <w:r>
        <w:t xml:space="preserve">ngtlnylyuy (1500 km).</w:t>
      </w:r>
    </w:p>
    <w:p>
      <w:pPr>
        <w:numPr>
          <w:ilvl w:val="0"/>
          <w:numId w:val="1003"/>
        </w:numPr>
        <w:pStyle w:val="Compact"/>
      </w:pPr>
      <w:r>
        <w:rPr>
          <w:bCs/>
          <w:b/>
        </w:rPr>
        <w:t xml:space="preserve">HGV Emission Factor (Europe, Well-to-Wheel):</w:t>
      </w:r>
      <w:r>
        <w:t xml:space="preserve"> </w:t>
      </w:r>
      <w:r>
        <w:t xml:space="preserve">0.092 kgCO2e/tonne-km.</w:t>
      </w:r>
    </w:p>
    <w:p>
      <w:pPr>
        <w:numPr>
          <w:ilvl w:val="0"/>
          <w:numId w:val="1003"/>
        </w:numPr>
        <w:pStyle w:val="Compact"/>
      </w:pPr>
      <w:r>
        <w:rPr>
          <w:bCs/>
          <w:b/>
        </w:rPr>
        <w:t xml:space="preserve">Last-Mile Delivery Channel:</w:t>
      </w:r>
      <w:r>
        <w:t xml:space="preserve"> </w:t>
      </w:r>
      <w:r>
        <w:t xml:space="preserve">Delivery Type (assumed to be Light Commercial Vehicle (LCV) / Van).</w:t>
      </w:r>
    </w:p>
    <w:p>
      <w:pPr>
        <w:numPr>
          <w:ilvl w:val="0"/>
          <w:numId w:val="1003"/>
        </w:numPr>
        <w:pStyle w:val="Compact"/>
      </w:pPr>
      <w:r>
        <w:rPr>
          <w:bCs/>
          <w:b/>
        </w:rPr>
        <w:t xml:space="preserve">Last-Mile Delivery Distance (Assumed):</w:t>
      </w:r>
      <w:r>
        <w:t xml:space="preserve"> </w:t>
      </w:r>
      <w:r>
        <w:t xml:space="preserve">50 km.</w:t>
      </w:r>
    </w:p>
    <w:p>
      <w:pPr>
        <w:numPr>
          <w:ilvl w:val="0"/>
          <w:numId w:val="1003"/>
        </w:numPr>
        <w:pStyle w:val="Compact"/>
      </w:pPr>
      <w:r>
        <w:rPr>
          <w:bCs/>
          <w:b/>
        </w:rPr>
        <w:t xml:space="preserve">LCV Emission Factor (Europe, estimated Well-to-Wheel):</w:t>
      </w:r>
      <w:r>
        <w:t xml:space="preserve"> </w:t>
      </w:r>
      <w:r>
        <w:t xml:space="preserve">0.735 kgCO2e/tonne-km (derived from an average LCV emission of 147 gCO2/km and an assumed 0.2 tonne payload).</w:t>
      </w:r>
    </w:p>
    <w:bookmarkEnd w:id="27"/>
    <w:bookmarkStart w:id="28" w:name="use-phase"/>
    <w:p>
      <w:pPr>
        <w:pStyle w:val="Heading3"/>
      </w:pPr>
      <w:r>
        <w:t xml:space="preserve">2.4. Use Phase</w:t>
      </w:r>
    </w:p>
    <w:p>
      <w:pPr>
        <w:pStyle w:val="FirstParagraph"/>
      </w:pPr>
      <w:r>
        <w:t xml:space="preserve">This stage accounts for the energy consumed during the product\'s operational life by the end-user.</w:t>
      </w:r>
    </w:p>
    <w:p>
      <w:pPr>
        <w:numPr>
          <w:ilvl w:val="0"/>
          <w:numId w:val="1004"/>
        </w:numPr>
        <w:pStyle w:val="Compact"/>
      </w:pPr>
      <w:r>
        <w:rPr>
          <w:bCs/>
          <w:b/>
        </w:rPr>
        <w:t xml:space="preserve">Product Lifespan:</w:t>
      </w:r>
      <w:r>
        <w:t xml:space="preserve"> </w:t>
      </w:r>
      <w:r>
        <w:t xml:space="preserve">rsuxdlrgmp (5 years).</w:t>
      </w:r>
    </w:p>
    <w:p>
      <w:pPr>
        <w:numPr>
          <w:ilvl w:val="0"/>
          <w:numId w:val="1004"/>
        </w:numPr>
        <w:pStyle w:val="Compact"/>
      </w:pPr>
      <w:r>
        <w:rPr>
          <w:bCs/>
          <w:b/>
        </w:rPr>
        <w:t xml:space="preserve">Energy Consumption in Use:</w:t>
      </w:r>
      <w:r>
        <w:t xml:space="preserve"> </w:t>
      </w:r>
      <w:r>
        <w:t xml:space="preserve">wgqomyxznl (20 kWh/year).</w:t>
      </w:r>
    </w:p>
    <w:p>
      <w:pPr>
        <w:numPr>
          <w:ilvl w:val="0"/>
          <w:numId w:val="1004"/>
        </w:numPr>
        <w:pStyle w:val="Compact"/>
      </w:pPr>
      <w:r>
        <w:rPr>
          <w:bCs/>
          <w:b/>
        </w:rPr>
        <w:t xml:space="preserve">Electricity Emission Factor (Average EU Grid):</w:t>
      </w:r>
      <w:r>
        <w:t xml:space="preserve"> </w:t>
      </w:r>
      <w:r>
        <w:t xml:space="preserve">0.288 kgCO2e/kWh.</w:t>
      </w:r>
    </w:p>
    <w:bookmarkEnd w:id="28"/>
    <w:bookmarkStart w:id="29" w:name="end-of-life-eol-treatment"/>
    <w:p>
      <w:pPr>
        <w:pStyle w:val="Heading3"/>
      </w:pPr>
      <w:r>
        <w:t xml:space="preserve">2.5. End-of-Life (EoL) Treatment</w:t>
      </w:r>
    </w:p>
    <w:p>
      <w:pPr>
        <w:pStyle w:val="FirstParagraph"/>
      </w:pPr>
      <w:r>
        <w:t xml:space="preserve">This stage addresses the emissions and potential avoided emissions associated with the product\'s disposal and recycling at the end of its life.</w:t>
      </w:r>
    </w:p>
    <w:p>
      <w:pPr>
        <w:numPr>
          <w:ilvl w:val="0"/>
          <w:numId w:val="1005"/>
        </w:numPr>
        <w:pStyle w:val="Compact"/>
      </w:pPr>
      <w:r>
        <w:rPr>
          <w:bCs/>
          <w:b/>
        </w:rPr>
        <w:t xml:space="preserve">Recyclability Percentage:</w:t>
      </w:r>
      <w:r>
        <w:t xml:space="preserve"> </w:t>
      </w:r>
      <w:r>
        <w:t xml:space="preserve">kzvjpxtzdt (70%).</w:t>
      </w:r>
    </w:p>
    <w:p>
      <w:pPr>
        <w:numPr>
          <w:ilvl w:val="0"/>
          <w:numId w:val="1005"/>
        </w:numPr>
        <w:pStyle w:val="Compact"/>
      </w:pPr>
      <w:r>
        <w:rPr>
          <w:bCs/>
          <w:b/>
        </w:rPr>
        <w:t xml:space="preserve">Circular/Take-back Programs:</w:t>
      </w:r>
      <w:r>
        <w:t xml:space="preserve"> </w:t>
      </w:r>
      <w:r>
        <w:t xml:space="preserve">frhvdjuwhs ("Implemented: Product take-back scheme with material recovery").</w:t>
      </w:r>
    </w:p>
    <w:p>
      <w:pPr>
        <w:numPr>
          <w:ilvl w:val="0"/>
          <w:numId w:val="1005"/>
        </w:numPr>
        <w:pStyle w:val="Compact"/>
      </w:pPr>
      <w:r>
        <w:rPr>
          <w:bCs/>
          <w:b/>
        </w:rPr>
        <w:t xml:space="preserve">Product Mass (for EoL calculation, based on BOM):</w:t>
      </w:r>
      <w:r>
        <w:t xml:space="preserve"> </w:t>
      </w:r>
      <w:r>
        <w:t xml:space="preserve">Approximately 0.805 kg.</w:t>
      </w:r>
    </w:p>
    <w:p>
      <w:pPr>
        <w:numPr>
          <w:ilvl w:val="0"/>
          <w:numId w:val="1005"/>
        </w:numPr>
        <w:pStyle w:val="Compact"/>
      </w:pPr>
      <w:r>
        <w:rPr>
          <w:bCs/>
          <w:b/>
        </w:rPr>
        <w:t xml:space="preserve">Disposal Emission Factor (Assumed for remaining 30%):</w:t>
      </w:r>
      <w:r>
        <w:t xml:space="preserve"> </w:t>
      </w:r>
      <w:r>
        <w:t xml:space="preserve">0.05 kgCO2e/kg (generic landfill/incineration).</w:t>
      </w:r>
    </w:p>
    <w:p>
      <w:r>
        <w:pict>
          <v:rect style="width:0;height:1.5pt" o:hralign="center" o:hrstd="t" o:hr="t"/>
        </w:pict>
      </w:r>
    </w:p>
    <w:bookmarkEnd w:id="29"/>
    <w:bookmarkEnd w:id="30"/>
    <w:bookmarkStart w:id="35" w:name="emission-calculation"/>
    <w:p>
      <w:pPr>
        <w:pStyle w:val="Heading2"/>
      </w:pPr>
      <w:r>
        <w:t xml:space="preserve">4. Emission Calculation</w:t>
      </w:r>
    </w:p>
    <w:p>
      <w:pPr>
        <w:pStyle w:val="FirstParagraph"/>
      </w:pPr>
      <w:r>
        <w:t xml:space="preserve">Emissions are calculated using the formula: Activity Data × Emission Factor = CO2e, and categorized according to the GHG Protocol.</w:t>
      </w:r>
    </w:p>
    <w:bookmarkStart w:id="32" w:name="lifecycle-stage-emissions-breakdown"/>
    <w:p>
      <w:pPr>
        <w:pStyle w:val="Heading3"/>
      </w:pPr>
      <w:r>
        <w:t xml:space="preserve">4.1. Lifecycle Stage Emissions Breakdown</w:t>
      </w:r>
    </w:p>
    <w:tbl>
      <w:tblPr>
        <w:tblStyle w:val="Table"/>
        <w:tblW w:type="pct" w:w="500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(kgCO2e)</w:t>
            </w:r>
          </w:p>
        </w:tc>
        <w:tc>
          <w:tcPr/>
          <w:p>
            <w:pPr>
              <w:pStyle w:val="Compact"/>
              <w:jc w:val="left"/>
            </w:pPr>
            <w:r>
              <w:t xml:space="preserve">GHG Protocol Scope</w:t>
            </w:r>
          </w:p>
        </w:tc>
      </w:tr>
      <w:tr>
        <w:tc>
          <w:tcPr/>
          <w:p>
            <w:pPr>
              <w:pStyle w:val="Compact"/>
              <w:jc w:val="left"/>
            </w:pPr>
            <w:r>
              <w:t xml:space="preserve">Material Acquisition &amp; Pre-processing</w:t>
            </w:r>
          </w:p>
        </w:tc>
        <w:tc>
          <w:tcPr/>
          <w:p>
            <w:pPr>
              <w:pStyle w:val="Compact"/>
              <w:jc w:val="left"/>
            </w:pPr>
            <w:r>
              <w:t xml:space="preserve">Sum of \'Total Carbon\' from BOM</w:t>
            </w:r>
          </w:p>
        </w:tc>
        <w:tc>
          <w:tcPr/>
          <w:p>
            <w:pPr>
              <w:pStyle w:val="Compact"/>
              <w:jc w:val="left"/>
            </w:pPr>
            <w:r>
              <w:t xml:space="preserve">N/A (pre-calculated)</w:t>
            </w:r>
          </w:p>
        </w:tc>
        <w:tc>
          <w:tcPr/>
          <w:p>
            <w:pPr>
              <w:pStyle w:val="Compact"/>
              <w:jc w:val="left"/>
            </w:pPr>
            <w:r>
              <w:t xml:space="preserve">5.24</w:t>
            </w:r>
          </w:p>
        </w:tc>
        <w:tc>
          <w:tcPr/>
          <w:p>
            <w:pPr>
              <w:pStyle w:val="Compact"/>
              <w:jc w:val="left"/>
            </w:pPr>
            <w:r>
              <w:t xml:space="preserve">Scope 3, Category 1</w:t>
            </w:r>
          </w:p>
        </w:tc>
      </w:tr>
      <w:tr>
        <w:tc>
          <w:tcPr/>
          <w:p>
            <w:pPr>
              <w:pStyle w:val="Compact"/>
              <w:jc w:val="left"/>
            </w:pPr>
            <w:r>
              <w:t xml:space="preserve">Manufacturing/Production</w:t>
            </w:r>
          </w:p>
        </w:tc>
        <w:tc>
          <w:tcPr/>
          <w:p>
            <w:pPr>
              <w:pStyle w:val="Compact"/>
              <w:jc w:val="left"/>
            </w:pPr>
            <w:r>
              <w:t xml:space="preserve">15 kWh/unit * (1 - 50% renewable)</w:t>
            </w:r>
          </w:p>
        </w:tc>
        <w:tc>
          <w:tcPr/>
          <w:p>
            <w:pPr>
              <w:pStyle w:val="Compact"/>
              <w:jc w:val="left"/>
            </w:pPr>
            <w:r>
              <w:t xml:space="preserve">0.577 kgCO2e/kWh (China Grid)</w:t>
            </w:r>
          </w:p>
        </w:tc>
        <w:tc>
          <w:tcPr/>
          <w:p>
            <w:pPr>
              <w:pStyle w:val="Compact"/>
              <w:jc w:val="left"/>
            </w:pPr>
            <w:r>
              <w:t xml:space="preserve">4.33</w:t>
            </w:r>
          </w:p>
        </w:tc>
        <w:tc>
          <w:tcPr/>
          <w:p>
            <w:pPr>
              <w:pStyle w:val="Compact"/>
              <w:jc w:val="left"/>
            </w:pPr>
            <w:r>
              <w:t xml:space="preserve">Scope 2</w:t>
            </w:r>
          </w:p>
        </w:tc>
      </w:tr>
      <w:tr>
        <w:tc>
          <w:tcPr/>
          <w:p>
            <w:pPr>
              <w:pStyle w:val="Compact"/>
              <w:jc w:val="left"/>
            </w:pPr>
            <w:r>
              <w:t xml:space="preserve">Transportation (Upstream)</w:t>
            </w:r>
          </w:p>
        </w:tc>
        <w:tc>
          <w:tcPr/>
          <w:p>
            <w:pPr>
              <w:pStyle w:val="Compact"/>
              <w:jc w:val="left"/>
            </w:pPr>
            <w:r>
              <w:t xml:space="preserve">0.002 tonnes * 1500 km</w:t>
            </w:r>
          </w:p>
        </w:tc>
        <w:tc>
          <w:tcPr/>
          <w:p>
            <w:pPr>
              <w:pStyle w:val="Compact"/>
              <w:jc w:val="left"/>
            </w:pPr>
            <w:r>
              <w:t xml:space="preserve">0.092 kgCO2e/tonne-km (HGV Europe)</w:t>
            </w:r>
          </w:p>
        </w:tc>
        <w:tc>
          <w:tcPr/>
          <w:p>
            <w:pPr>
              <w:pStyle w:val="Compact"/>
              <w:jc w:val="left"/>
            </w:pPr>
            <w:r>
              <w:t xml:space="preserve">0.28</w:t>
            </w:r>
          </w:p>
        </w:tc>
        <w:tc>
          <w:tcPr/>
          <w:p>
            <w:pPr>
              <w:pStyle w:val="Compact"/>
              <w:jc w:val="left"/>
            </w:pPr>
            <w:r>
              <w:t xml:space="preserve">Scope 3, Category 4</w:t>
            </w:r>
          </w:p>
        </w:tc>
      </w:tr>
      <w:tr>
        <w:tc>
          <w:tcPr/>
          <w:p>
            <w:pPr>
              <w:pStyle w:val="Compact"/>
              <w:jc w:val="left"/>
            </w:pPr>
            <w:r>
              <w:t xml:space="preserve">Last-Mile Delivery (Downstream)</w:t>
            </w:r>
          </w:p>
        </w:tc>
        <w:tc>
          <w:tcPr/>
          <w:p>
            <w:pPr>
              <w:pStyle w:val="Compact"/>
              <w:jc w:val="left"/>
            </w:pPr>
            <w:r>
              <w:t xml:space="preserve">0.002 tonnes * 50 km</w:t>
            </w:r>
          </w:p>
        </w:tc>
        <w:tc>
          <w:tcPr/>
          <w:p>
            <w:pPr>
              <w:pStyle w:val="Compact"/>
              <w:jc w:val="left"/>
            </w:pPr>
            <w:r>
              <w:t xml:space="preserve">0.735 kgCO2e/tonne-km (LCV Europe)</w:t>
            </w:r>
          </w:p>
        </w:tc>
        <w:tc>
          <w:tcPr/>
          <w:p>
            <w:pPr>
              <w:pStyle w:val="Compact"/>
              <w:jc w:val="left"/>
            </w:pPr>
            <w:r>
              <w:t xml:space="preserve">0.07</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100 kWh (5 years * 20 kWh/year)</w:t>
            </w:r>
          </w:p>
        </w:tc>
        <w:tc>
          <w:tcPr/>
          <w:p>
            <w:pPr>
              <w:pStyle w:val="Compact"/>
              <w:jc w:val="left"/>
            </w:pPr>
            <w:r>
              <w:t xml:space="preserve">0.288 kgCO2e/kWh (EU Grid)</w:t>
            </w:r>
          </w:p>
        </w:tc>
        <w:tc>
          <w:tcPr/>
          <w:p>
            <w:pPr>
              <w:pStyle w:val="Compact"/>
              <w:jc w:val="left"/>
            </w:pPr>
            <w:r>
              <w:t xml:space="preserve">28.80</w:t>
            </w:r>
          </w:p>
        </w:tc>
        <w:tc>
          <w:tcPr/>
          <w:p>
            <w:pPr>
              <w:pStyle w:val="Compact"/>
              <w:jc w:val="left"/>
            </w:pPr>
            <w:r>
              <w:t xml:space="preserve">Scope 3, Category 11</w:t>
            </w:r>
          </w:p>
        </w:tc>
      </w:tr>
      <w:tr>
        <w:tc>
          <w:tcPr/>
          <w:p>
            <w:pPr>
              <w:pStyle w:val="Compact"/>
              <w:jc w:val="left"/>
            </w:pPr>
            <w:r>
              <w:t xml:space="preserve">End-of-Life (Net)</w:t>
            </w:r>
          </w:p>
        </w:tc>
        <w:tc>
          <w:tcPr/>
          <w:p>
            <w:pPr>
              <w:pStyle w:val="Compact"/>
              <w:jc w:val="left"/>
            </w:pPr>
            <w:r>
              <w:t xml:space="preserve">Disposal: 0.2415 kg * 0.05 kgCO2e/kg</w:t>
            </w:r>
            <w:r>
              <w:br/>
            </w:r>
            <w:r>
              <w:t xml:space="preserve">Credit: 5.24 kgCO2e * 70% * 50%</w:t>
            </w:r>
          </w:p>
        </w:tc>
        <w:tc>
          <w:tcPr/>
          <w:p>
            <w:pPr>
              <w:pStyle w:val="Compact"/>
              <w:jc w:val="left"/>
            </w:pPr>
            <w:r>
              <w:t xml:space="preserve">(See breakdown below)</w:t>
            </w:r>
          </w:p>
        </w:tc>
        <w:tc>
          <w:tcPr/>
          <w:p>
            <w:pPr>
              <w:pStyle w:val="Compact"/>
              <w:jc w:val="left"/>
            </w:pPr>
            <w:r>
              <w:t xml:space="preserve">-1.82</w:t>
            </w:r>
          </w:p>
        </w:tc>
        <w:tc>
          <w:tcPr/>
          <w:p>
            <w:pPr>
              <w:pStyle w:val="Compact"/>
              <w:jc w:val="left"/>
            </w:pPr>
            <w:r>
              <w:t xml:space="preserve">Scope 3, Category 12</w:t>
            </w:r>
          </w:p>
        </w:tc>
      </w:tr>
    </w:tbl>
    <w:bookmarkStart w:id="31" w:name="end-of-life-eol-calculation-details"/>
    <w:p>
      <w:pPr>
        <w:pStyle w:val="Heading4"/>
      </w:pPr>
      <w:r>
        <w:t xml:space="preserve">End-of-Life (EoL) Calculation Details:</w:t>
      </w:r>
    </w:p>
    <w:p>
      <w:pPr>
        <w:numPr>
          <w:ilvl w:val="0"/>
          <w:numId w:val="1006"/>
        </w:numPr>
        <w:pStyle w:val="Compact"/>
      </w:pPr>
      <w:r>
        <w:t xml:space="preserve">Emissions from Disposal (30% of product mass): 0.805 kg * 0.30 * 0.05 kgCO2e/kg = 0.012 kgCO2e.</w:t>
      </w:r>
    </w:p>
    <w:p>
      <w:pPr>
        <w:numPr>
          <w:ilvl w:val="0"/>
          <w:numId w:val="1006"/>
        </w:numPr>
        <w:pStyle w:val="Compact"/>
      </w:pPr>
      <w:r>
        <w:t xml:space="preserve">Avoided Emissions (Credit for 70% Recyclability): Assuming a 50% effectiveness factor for material displacement: 5.24 kgCO2e (Total Material Carbon) * 0.70 (Recyclability) * 0.50 (Credit Factor) = 1.834 kgCO2e.</w:t>
      </w:r>
    </w:p>
    <w:p>
      <w:pPr>
        <w:numPr>
          <w:ilvl w:val="0"/>
          <w:numId w:val="1006"/>
        </w:numPr>
        <w:pStyle w:val="Compact"/>
      </w:pPr>
      <w:r>
        <w:t xml:space="preserve">Net EoL Emissions = 0.012 kgCO2e (disposal) - 1.834 kgCO2e (credit) = -1.822 kgCO2e.</w:t>
      </w:r>
    </w:p>
    <w:bookmarkEnd w:id="31"/>
    <w:bookmarkEnd w:id="32"/>
    <w:bookmarkStart w:id="33" w:name="total-product-carbon-footprint-pcf"/>
    <w:p>
      <w:pPr>
        <w:pStyle w:val="Heading3"/>
      </w:pPr>
      <w:r>
        <w:t xml:space="preserve">4.2. Total Product Carbon Footprint (PCF)</w:t>
      </w:r>
    </w:p>
    <w:p>
      <w:pPr>
        <w:pStyle w:val="FirstParagraph"/>
      </w:pPr>
      <w:r>
        <w:t xml:space="preserve">The cumulative emissions across all lifecycle stages for one functional unit of jrqllminzo are:</w:t>
      </w:r>
    </w:p>
    <w:p>
      <w:pPr>
        <w:pStyle w:val="BodyText"/>
      </w:pPr>
      <w:r>
        <w:t xml:space="preserve">Total PCF = 36.90 kgCO2e</w:t>
      </w:r>
    </w:p>
    <w:bookmarkEnd w:id="33"/>
    <w:bookmarkStart w:id="34" w:name="ghg-protocol-scopes-summary"/>
    <w:p>
      <w:pPr>
        <w:pStyle w:val="Heading3"/>
      </w:pPr>
      <w:r>
        <w:t xml:space="preserve">4.3. GHG Protocol Scopes Summary</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w:t>
            </w:r>
          </w:p>
        </w:tc>
        <w:tc>
          <w:tcPr/>
          <w:p>
            <w:pPr>
              <w:pStyle w:val="Compact"/>
              <w:jc w:val="left"/>
            </w:pPr>
            <w:r>
              <w:t xml:space="preserve">Description</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0.00</w:t>
            </w:r>
          </w:p>
        </w:tc>
        <w:tc>
          <w:tcPr/>
          <w:p>
            <w:pPr>
              <w:pStyle w:val="Compact"/>
              <w:jc w:val="left"/>
            </w:pPr>
            <w:r>
              <w:t xml:space="preserve">No direct emissions from owned/controlled sources identified within the product\'s PCF boundary for this analysis.</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4.33</w:t>
            </w:r>
          </w:p>
        </w:tc>
        <w:tc>
          <w:tcPr/>
          <w:p>
            <w:pPr>
              <w:pStyle w:val="Compact"/>
              <w:jc w:val="left"/>
            </w:pPr>
            <w:r>
              <w:t xml:space="preserve">Emissions from purchased electricity for the manufacturing of jrqllminzo.</w:t>
            </w:r>
          </w:p>
        </w:tc>
      </w:tr>
      <w:tr>
        <w:tc>
          <w:tcPr/>
          <w:p>
            <w:pPr>
              <w:pStyle w:val="Compact"/>
              <w:jc w:val="left"/>
            </w:pPr>
            <w:r>
              <w:rPr>
                <w:bCs/>
                <w:b/>
              </w:rPr>
              <w:t xml:space="preserve">Scope 3</w:t>
            </w:r>
            <w:r>
              <w:t xml:space="preserve"> </w:t>
            </w:r>
            <w:r>
              <w:t xml:space="preserve">(Value Chain Emissions)</w:t>
            </w:r>
          </w:p>
        </w:tc>
        <w:tc>
          <w:tcPr/>
          <w:p>
            <w:pPr>
              <w:pStyle w:val="Compact"/>
              <w:jc w:val="left"/>
            </w:pPr>
            <w:r>
              <w:t xml:space="preserve">32.57</w:t>
            </w:r>
          </w:p>
        </w:tc>
        <w:tc>
          <w:tcPr/>
          <w:p>
            <w:pPr>
              <w:pStyle w:val="Compact"/>
              <w:jc w:val="left"/>
            </w:pPr>
            <w:r>
              <w:t xml:space="preserve">Includes:</w:t>
            </w:r>
          </w:p>
          <w:p>
            <w:pPr>
              <w:numPr>
                <w:ilvl w:val="0"/>
                <w:numId w:val="1007"/>
              </w:numPr>
              <w:pStyle w:val="Compact"/>
              <w:jc w:val="left"/>
            </w:pPr>
            <w:r>
              <w:t xml:space="preserve">Category 1: Purchased Goods and Services (Materials): 5.24 kgCO2e</w:t>
            </w:r>
          </w:p>
          <w:p>
            <w:pPr>
              <w:numPr>
                <w:ilvl w:val="0"/>
                <w:numId w:val="1007"/>
              </w:numPr>
              <w:pStyle w:val="Compact"/>
              <w:jc w:val="left"/>
            </w:pPr>
            <w:r>
              <w:t xml:space="preserve">Category 4: Upstream Transportation and Distribution: 0.28 kgCO2e</w:t>
            </w:r>
          </w:p>
          <w:p>
            <w:pPr>
              <w:numPr>
                <w:ilvl w:val="0"/>
                <w:numId w:val="1007"/>
              </w:numPr>
              <w:pStyle w:val="Compact"/>
              <w:jc w:val="left"/>
            </w:pPr>
            <w:r>
              <w:t xml:space="preserve">Category 9: Downstream Transportation and Distribution (Last-Mile): 0.07 kgCO2e</w:t>
            </w:r>
          </w:p>
          <w:p>
            <w:pPr>
              <w:numPr>
                <w:ilvl w:val="0"/>
                <w:numId w:val="1007"/>
              </w:numPr>
              <w:pStyle w:val="Compact"/>
              <w:jc w:val="left"/>
            </w:pPr>
            <w:r>
              <w:t xml:space="preserve">Category 11: Use of Sold Products: 28.80 kgCO2e</w:t>
            </w:r>
          </w:p>
          <w:p>
            <w:pPr>
              <w:numPr>
                <w:ilvl w:val="0"/>
                <w:numId w:val="1007"/>
              </w:numPr>
              <w:pStyle w:val="Compact"/>
              <w:jc w:val="left"/>
            </w:pPr>
            <w:r>
              <w:t xml:space="preserve">Category 12: End-of-Life Treatment of Sold Products: -1.82 kgCO2e</w:t>
            </w:r>
          </w:p>
        </w:tc>
      </w:tr>
      <w:tr>
        <w:tc>
          <w:tcPr/>
          <w:p>
            <w:pPr>
              <w:pStyle w:val="Compact"/>
              <w:jc w:val="left"/>
            </w:pPr>
            <w:r>
              <w:rPr>
                <w:bCs/>
                <w:b/>
              </w:rPr>
              <w:t xml:space="preserve">Total PCF</w:t>
            </w:r>
          </w:p>
        </w:tc>
        <w:tc>
          <w:tcPr/>
          <w:p>
            <w:pPr>
              <w:pStyle w:val="Compact"/>
              <w:jc w:val="left"/>
            </w:pPr>
            <w:r>
              <w:rPr>
                <w:bCs/>
                <w:b/>
              </w:rPr>
              <w:t xml:space="preserve">36.90</w:t>
            </w:r>
          </w:p>
        </w:tc>
        <w:tc>
          <w:tcPr/>
          <w:p>
            <w:pPr>
              <w:pStyle w:val="Compact"/>
              <w:jc w:val="left"/>
            </w:pPr>
            <w:r>
              <w:t xml:space="preserve">Sum of Scope 1, Scope 2, and Scope 3 emissions.</w:t>
            </w:r>
          </w:p>
        </w:tc>
      </w:tr>
    </w:tbl>
    <w:p>
      <w:r>
        <w:pict>
          <v:rect style="width:0;height:1.5pt" o:hralign="center" o:hrstd="t" o:hr="t"/>
        </w:pict>
      </w:r>
    </w:p>
    <w:bookmarkEnd w:id="34"/>
    <w:bookmarkEnd w:id="35"/>
    <w:bookmarkStart w:id="41" w:name="review-report"/>
    <w:p>
      <w:pPr>
        <w:pStyle w:val="Heading2"/>
      </w:pPr>
      <w:r>
        <w:t xml:space="preserve">5. Review &amp; Report</w:t>
      </w:r>
    </w:p>
    <w:bookmarkStart w:id="36" w:name="hotspot-identification"/>
    <w:p>
      <w:pPr>
        <w:pStyle w:val="Heading3"/>
      </w:pPr>
      <w:r>
        <w:t xml:space="preserve">5.1. Hotspot Identification</w:t>
      </w:r>
    </w:p>
    <w:p>
      <w:pPr>
        <w:pStyle w:val="FirstParagraph"/>
      </w:pPr>
      <w:r>
        <w:t xml:space="preserve">Based on the analysis, the primary hotspots for jrqllminzo\'s carbon footprint are:</w:t>
      </w:r>
    </w:p>
    <w:p>
      <w:pPr>
        <w:numPr>
          <w:ilvl w:val="0"/>
          <w:numId w:val="1008"/>
        </w:numPr>
        <w:pStyle w:val="Compact"/>
      </w:pPr>
      <w:r>
        <w:rPr>
          <w:bCs/>
          <w:b/>
        </w:rPr>
        <w:t xml:space="preserve">Use Phase (28.80 kgCO2e):</w:t>
      </w:r>
      <w:r>
        <w:t xml:space="preserve"> </w:t>
      </w:r>
      <w:r>
        <w:t xml:space="preserve">This stage contributes the most significant portion (approx. 78%) of the total PCF due to the product\'s extended lifespan (rsuxdlrgmp: 5 years) and energy consumption in use (wgqomyxznl: 20 kWh/year). Reducing operational energy demand or promoting renewable energy sources for end-users would be crucial.</w:t>
      </w:r>
    </w:p>
    <w:p>
      <w:pPr>
        <w:numPr>
          <w:ilvl w:val="0"/>
          <w:numId w:val="1008"/>
        </w:numPr>
        <w:pStyle w:val="Compact"/>
      </w:pPr>
      <w:r>
        <w:rPr>
          <w:bCs/>
          <w:b/>
        </w:rPr>
        <w:t xml:space="preserve">Material Acquisition (5.24 kgCO2e):</w:t>
      </w:r>
      <w:r>
        <w:t xml:space="preserve"> </w:t>
      </w:r>
      <w:r>
        <w:t xml:space="preserve">The raw materials, particularly Aluminum Casing and Circuit Board, contribute substantially. Exploring lower-carbon alternative materials, increasing recycled content, and optimizing material efficiency are key strategies.</w:t>
      </w:r>
    </w:p>
    <w:p>
      <w:pPr>
        <w:numPr>
          <w:ilvl w:val="0"/>
          <w:numId w:val="1008"/>
        </w:numPr>
        <w:pStyle w:val="Compact"/>
      </w:pPr>
      <w:r>
        <w:rPr>
          <w:bCs/>
          <w:b/>
        </w:rPr>
        <w:t xml:space="preserve">Manufacturing (4.33 kgCO2e):</w:t>
      </w:r>
      <w:r>
        <w:t xml:space="preserve"> </w:t>
      </w:r>
      <w:r>
        <w:t xml:space="preserve">The energy consumed during production is another significant contributor. Increasing the percentage of renewable energy usage beyond the current ytlwwosmot (50%) in the manufacturing facility in China would reduce this impact.</w:t>
      </w:r>
    </w:p>
    <w:bookmarkEnd w:id="36"/>
    <w:bookmarkStart w:id="37" w:name="reliability-and-data-gaps"/>
    <w:p>
      <w:pPr>
        <w:pStyle w:val="Heading3"/>
      </w:pPr>
      <w:r>
        <w:t xml:space="preserve">5.2. Reliability and Data Gaps</w:t>
      </w:r>
    </w:p>
    <w:p>
      <w:pPr>
        <w:pStyle w:val="FirstParagraph"/>
      </w:pPr>
      <w:r>
        <w:t xml:space="preserve">The analysis relies on a combination of specific provided data, assumed placeholder values, and industry-standard emission factors (e.g., from Climatiq for HGV transport, and various sources for grid electricity).</w:t>
      </w:r>
    </w:p>
    <w:p>
      <w:pPr>
        <w:numPr>
          <w:ilvl w:val="0"/>
          <w:numId w:val="1009"/>
        </w:numPr>
        <w:pStyle w:val="Compact"/>
      </w:pPr>
      <w:r>
        <w:t xml:space="preserve">The detailed BOM (xpwtvwfr) with pre-calculated carbon values significantly enhances the accuracy of the material stage.</w:t>
      </w:r>
    </w:p>
    <w:p>
      <w:pPr>
        <w:numPr>
          <w:ilvl w:val="0"/>
          <w:numId w:val="1009"/>
        </w:numPr>
        <w:pStyle w:val="Compact"/>
      </w:pPr>
      <w:r>
        <w:t xml:space="preserve">Placeholder values for transport mode ("Select Mode", "Delivery Type") and distances ("ngtlnylyuy") required interpretation and assumptions for specific emission factors and distances. Further primary data for these parameters would improve accuracy.</w:t>
      </w:r>
    </w:p>
    <w:p>
      <w:pPr>
        <w:numPr>
          <w:ilvl w:val="0"/>
          <w:numId w:val="1009"/>
        </w:numPr>
        <w:pStyle w:val="Compact"/>
      </w:pPr>
      <w:r>
        <w:t xml:space="preserve">The EoL scenario, while incorporating recyclability (kzvjpxtzdt) and circular programs (frhvdjuwhs), uses a simplified net credit approach. More detailed life cycle inventory data for specific recycling processes and displaced virgin materials would refine this calculation.</w:t>
      </w:r>
    </w:p>
    <w:bookmarkEnd w:id="37"/>
    <w:bookmarkStart w:id="40" w:name="X25ab271e0b973df754491ec5ddcb2d245f47eaf"/>
    <w:p>
      <w:pPr>
        <w:pStyle w:val="Heading3"/>
      </w:pPr>
      <w:r>
        <w:t xml:space="preserve">5.3. GHG Protocol Adherence and 2026 LSR Update</w:t>
      </w:r>
    </w:p>
    <w:p>
      <w:pPr>
        <w:numPr>
          <w:ilvl w:val="0"/>
          <w:numId w:val="1010"/>
        </w:numPr>
        <w:pStyle w:val="Compact"/>
      </w:pPr>
      <w:r>
        <w:t xml:space="preserve">The report rigorously adheres to the GHG Protocol\'s requirements for categorizing emissions into Scope 1, 2, and 3.</w:t>
      </w:r>
    </w:p>
    <w:p>
      <w:pPr>
        <w:numPr>
          <w:ilvl w:val="0"/>
          <w:numId w:val="1010"/>
        </w:numPr>
        <w:pStyle w:val="Compact"/>
      </w:pPr>
      <w:r>
        <w:rPr>
          <w:bCs/>
          <w:b/>
        </w:rPr>
        <w:t xml:space="preserve">Scope 3 Compliance:</w:t>
      </w:r>
      <w:r>
        <w:t xml:space="preserve"> </w:t>
      </w:r>
      <w:r>
        <w:t xml:space="preserve">All relevant Scope 3 categories are addressed, aiming for comprehensive coverage in line with 2026 requirements. The inclusion of material, transport, use-phase, and end-of-life emissions ensures robust value chain accounting.</w:t>
      </w:r>
    </w:p>
    <w:p>
      <w:pPr>
        <w:numPr>
          <w:ilvl w:val="0"/>
          <w:numId w:val="1010"/>
        </w:numPr>
        <w:pStyle w:val="Compact"/>
      </w:pPr>
      <w:r>
        <w:rPr>
          <w:bCs/>
          <w:b/>
        </w:rPr>
        <w:t xml:space="preserve">2026 LSR Update:</w:t>
      </w:r>
      <w:r>
        <w:t xml:space="preserve"> </w:t>
      </w:r>
      <w:r>
        <w:t xml:space="preserve">The Land Sector and Removals (LSR) Standard is acknowledged. While specific land use and carbon removal data for the product\'s inputs were not available, the EoL credit for recycling implicitly supports the principles of material circularity and avoided virgin resource extraction, which aligns with the broader aims of accounting for removals and land-related impacts. A more direct application of LSR would require tracing land use changes associated with raw material sourcing.</w:t>
      </w:r>
    </w:p>
    <w:p>
      <w:r>
        <w:pict>
          <v:rect style="width:0;height:1.5pt" o:hralign="center" o:hrstd="t" o:hr="t"/>
        </w:pict>
      </w:r>
    </w:p>
    <w:p>
      <w:pPr>
        <w:pStyle w:val="FirstParagraph"/>
      </w:pPr>
      <w:r>
        <w:t xml:space="preserve">Confidential - Internal Use Only | Page</w:t>
      </w:r>
      <w:r>
        <w:t xml:space="preserve"> </w:t>
      </w:r>
      <w:bookmarkStart w:id="38" w:name="pageNumber"/>
      <w:r>
        <w:t xml:space="preserve">1</w:t>
      </w:r>
      <w:bookmarkEnd w:id="38"/>
      <w:r>
        <w:t xml:space="preserve"> </w:t>
      </w:r>
      <w:r>
        <w:t xml:space="preserve">of</w:t>
      </w:r>
      <w:r>
        <w:t xml:space="preserve"> </w:t>
      </w:r>
      <w:bookmarkStart w:id="39" w:name="totalPages"/>
      <w:r>
        <w:t xml:space="preserve">1</w:t>
      </w:r>
      <w:bookmarkEnd w:id="39"/>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jrqllminzo</dc:title>
  <dc:creator/>
  <dc:description>High-detail Product Carbon Footprint (PCF) analysis report for jrqllminzo, conducted by Senior Sustainability Consultant ujnwpritoy for sdmsfxwntp, adhering to GHG Protocol standards including 2026 LSR updates and 95% Scope 3 coverage.</dc:description>
  <dc:language>en</dc:language>
  <cp:keywords/>
  <dcterms:created xsi:type="dcterms:W3CDTF">2026-06-13T02:02:21Z</dcterms:created>
  <dcterms:modified xsi:type="dcterms:W3CDTF">2026-06-13T02:02:21Z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