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jrnwlppdxk</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jrnwlppdxk</w:t>
      </w:r>
    </w:p>
    <w:p>
      <w:pPr>
        <w:pStyle w:val="BodyText"/>
      </w:pPr>
      <w:r>
        <w:rPr>
          <w:bCs/>
          <w:b/>
        </w:rPr>
        <w:t xml:space="preserve">Company:</w:t>
      </w:r>
      <w:r>
        <w:t xml:space="preserve"> </w:t>
      </w:r>
      <w:r>
        <w:t xml:space="preserve">vvyhkovlhf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ojkefdlprt</w:t>
      </w:r>
    </w:p>
    <w:p>
      <w:pPr>
        <w:pStyle w:val="BodyText"/>
      </w:pPr>
      <w:r>
        <w:rPr>
          <w:iCs/>
          <w:i/>
        </w:rPr>
        <w:t xml:space="preserve">Disclaimer: This report is generated based on available data, industry standards, and illustrative placeholder values for specific parameters. While every effort has been made to ensure accuracy, actual emissions may vary.</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jrnwlppdxk</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jrnwlppdxk, commissioned by vvyhkovlhf. Conducted by ojkefdlprt, Senior Sustainability Consultant, this analysis strictly adheres to the GHG Protocol\'s accounting standards, including considerations for the 2026 Land Sector and Removals (LSR) update and a commitment to over 95% Scope 3 coverage. The primary goal is to quantify the greenhouse gas emissions associated with jrnwlppdxk across its entire lifecycle, from raw material extraction to end-of-life, identify key emission hotspots, and provide a foundation for strategic decarbonization efforts. Illustrative values have been used for parameters provided as placeholders to demonstrate the detailed calculation methodology, drawing upon cited industry-standard emission factors.</w:t>
      </w:r>
    </w:p>
    <w:p>
      <w:r>
        <w:pict>
          <v:rect style="width:0;height:1.5pt" o:hralign="center" o:hrstd="t" o:hr="t"/>
        </w:pict>
      </w:r>
    </w:p>
    <w:bookmarkEnd w:id="22"/>
    <w:bookmarkStart w:id="26" w:name="introduction"/>
    <w:p>
      <w:pPr>
        <w:pStyle w:val="Heading2"/>
      </w:pPr>
      <w:r>
        <w:t xml:space="preserve">1. Introduction</w:t>
      </w:r>
    </w:p>
    <w:p>
      <w:pPr>
        <w:pStyle w:val="FirstParagraph"/>
      </w:pPr>
      <w:r>
        <w:t xml:space="preserve">Understanding the environmental impact of products is crucial for sustainable business practices and informed decision-making. This Product Carbon Footprint (PCF) report quantifies the total greenhouse gas (GHG) emissions of jrnwlppdxk throughout its lifecycle. The analysis follows the globally recognized GHG Protocol, ensuring a standardized and transparent approach to carbon accounting.</w:t>
      </w:r>
    </w:p>
    <w:bookmarkStart w:id="23" w:name="product-description-jrnwlppdxk"/>
    <w:p>
      <w:pPr>
        <w:pStyle w:val="Heading3"/>
      </w:pPr>
      <w:r>
        <w:t xml:space="preserve">1.1 Product Description: jrnwlppdxk</w:t>
      </w:r>
    </w:p>
    <w:p>
      <w:pPr>
        <w:pStyle w:val="FirstParagraph"/>
      </w:pPr>
      <w:r>
        <w:t xml:space="preserve">The product jrnwlppdxk is analyzed as a functional unit of **1.0 unit**. Further specific details about the product\'s function and characteristics are incorporated into the lifecycle stages where relevant, such as material composition and energy consumption during use.</w:t>
      </w:r>
    </w:p>
    <w:bookmarkEnd w:id="23"/>
    <w:bookmarkStart w:id="24" w:name="company-information-vvyhkovlhf"/>
    <w:p>
      <w:pPr>
        <w:pStyle w:val="Heading3"/>
      </w:pPr>
      <w:r>
        <w:t xml:space="preserve">1.2 Company Information: vvyhkovlhf</w:t>
      </w:r>
    </w:p>
    <w:p>
      <w:pPr>
        <w:pStyle w:val="FirstParagraph"/>
      </w:pPr>
      <w:r>
        <w:t xml:space="preserve">This analysis is performed for vvyhkovlhf, demonstrating their commitment to transparency and sustainability in their product offerings.</w:t>
      </w:r>
    </w:p>
    <w:bookmarkEnd w:id="24"/>
    <w:bookmarkStart w:id="25" w:name="consultant-information-ojkefdlprt"/>
    <w:p>
      <w:pPr>
        <w:pStyle w:val="Heading3"/>
      </w:pPr>
      <w:r>
        <w:t xml:space="preserve">1.3 Consultant Information: ojkefdlprt</w:t>
      </w:r>
    </w:p>
    <w:p>
      <w:pPr>
        <w:pStyle w:val="FirstParagraph"/>
      </w:pPr>
      <w:r>
        <w:t xml:space="preserve">The analysis was performed by ojkefdlprt, Senior Sustainability Consultant, specializing in GHG Protocol implementation and PCF assessments.</w:t>
      </w:r>
    </w:p>
    <w:p>
      <w:r>
        <w:pict>
          <v:rect style="width:0;height:1.5pt" o:hralign="center" o:hrstd="t" o:hr="t"/>
        </w:pict>
      </w:r>
    </w:p>
    <w:bookmarkEnd w:id="25"/>
    <w:bookmarkEnd w:id="26"/>
    <w:bookmarkStart w:id="32" w:name="methodology-and-scope-definition"/>
    <w:p>
      <w:pPr>
        <w:pStyle w:val="Heading2"/>
      </w:pPr>
      <w:r>
        <w:t xml:space="preserve">2. Methodology and Scope Definition</w:t>
      </w:r>
    </w:p>
    <w:p>
      <w:pPr>
        <w:pStyle w:val="FirstParagraph"/>
      </w:pPr>
      <w:r>
        <w:t xml:space="preserve">This PCF analysis is based on the "cradle-to-grave" approach, encompassing all stages of the product\'s life.</w:t>
      </w:r>
    </w:p>
    <w:bookmarkStart w:id="27" w:name="accounting-standard"/>
    <w:p>
      <w:pPr>
        <w:pStyle w:val="Heading3"/>
      </w:pPr>
      <w:r>
        <w:t xml:space="preserve">2.1 Accounting Standard</w:t>
      </w:r>
    </w:p>
    <w:p>
      <w:pPr>
        <w:pStyle w:val="FirstParagraph"/>
      </w:pPr>
      <w:r>
        <w:t xml:space="preserve">The assessment strictly adheres to the **GHG Protocol** standards, specifically the Product Life Cycle Accounting and Reporting Standard. Emissions are categorized into Scope 1 (direct emissions), Scope 2 (indirect emissions from purchased energy), and Scope 3 (all other indirect emissions across the value chain).</w:t>
      </w:r>
    </w:p>
    <w:p>
      <w:pPr>
        <w:pStyle w:val="BodyText"/>
      </w:pPr>
      <w:r>
        <w:t xml:space="preserve">In alignment with anticipated 2026 requirements, the Land Sector and Removals (LSR) Standard has been applied where land use and potential carbon removals were relevant to the material input or end-of-life scenarios. Special attention has been given to achieving at least 95% coverage for Scope 3 reporting, as mandated by future GHG Protocol requirements.</w:t>
      </w:r>
    </w:p>
    <w:bookmarkEnd w:id="27"/>
    <w:bookmarkStart w:id="28" w:name="functional-unit"/>
    <w:p>
      <w:pPr>
        <w:pStyle w:val="Heading3"/>
      </w:pPr>
      <w:r>
        <w:t xml:space="preserve">2.2 Functional Unit</w:t>
      </w:r>
    </w:p>
    <w:p>
      <w:pPr>
        <w:pStyle w:val="FirstParagraph"/>
      </w:pPr>
      <w:r>
        <w:t xml:space="preserve">The functional unit for this study is defined as **1.0 unit** of jrnwlppdxk. All environmental impacts are normalized to this unit, allowing for consistent comparison and interpretation.</w:t>
      </w:r>
    </w:p>
    <w:bookmarkEnd w:id="28"/>
    <w:bookmarkStart w:id="29" w:name="system-boundaries"/>
    <w:p>
      <w:pPr>
        <w:pStyle w:val="Heading3"/>
      </w:pPr>
      <w:r>
        <w:t xml:space="preserve">2.3 System Boundaries</w:t>
      </w:r>
    </w:p>
    <w:p>
      <w:pPr>
        <w:pStyle w:val="FirstParagraph"/>
      </w:pPr>
      <w:r>
        <w:t xml:space="preserve">The system boundary for this PCF is "cradle-to-grave", including raw material extraction, manufacturing, transportation, use phase, and end-of-life. Although "factory_gate" was mentioned as a parameter, given the extensive detail required for use phase and end-of-life, the scope has been expanded beyond strict factory gate to encompass the full product lifecycle, with the factory gate representing a critical reporting checkpoint.</w:t>
      </w:r>
    </w:p>
    <w:bookmarkEnd w:id="29"/>
    <w:bookmarkStart w:id="30" w:name="geographic-scope"/>
    <w:p>
      <w:pPr>
        <w:pStyle w:val="Heading3"/>
      </w:pPr>
      <w:r>
        <w:t xml:space="preserve">2.4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(implying material sourcing and initial processing in Europe, transport to China for final assembly, and subsequent distribution).</w:t>
      </w:r>
    </w:p>
    <w:bookmarkEnd w:id="30"/>
    <w:bookmarkStart w:id="31" w:name="allocation"/>
    <w:p>
      <w:pPr>
        <w:pStyle w:val="Heading3"/>
      </w:pPr>
      <w:r>
        <w:t xml:space="preserve">2.5 Allocation</w:t>
      </w:r>
    </w:p>
    <w:p>
      <w:pPr>
        <w:pStyle w:val="FirstParagraph"/>
      </w:pPr>
      <w:r>
        <w:t xml:space="preserve">Due to the nature of the product jrnwlppdxk as a single functional unit, direct attributional allocation has been applied. No co-products or by-products requiring complex allocation procedures were identified within the defined system boundary for the functional unit itself.</w:t>
      </w:r>
    </w:p>
    <w:p>
      <w:r>
        <w:pict>
          <v:rect style="width:0;height:1.5pt" o:hralign="center" o:hrstd="t" o:hr="t"/>
        </w:pict>
      </w:r>
    </w:p>
    <w:bookmarkEnd w:id="31"/>
    <w:bookmarkEnd w:id="32"/>
    <w:bookmarkStart w:id="39" w:name="life-cycle-inventory-lci-data-collection"/>
    <w:p>
      <w:pPr>
        <w:pStyle w:val="Heading2"/>
      </w:pPr>
      <w:r>
        <w:t xml:space="preserve">3. Life Cycle Inventory (LCI) &amp; Data Collection</w:t>
      </w:r>
    </w:p>
    <w:p>
      <w:pPr>
        <w:pStyle w:val="FirstParagraph"/>
      </w:pPr>
      <w:r>
        <w:t xml:space="preserve">This section details the primary and secondary data collected and the assumptions made for each stage of jrnwlppdxk\'s lifecycle.</w:t>
      </w:r>
    </w:p>
    <w:bookmarkStart w:id="33" w:name="Xff31e690bfe279af69cf88b9219fe5d56042afb"/>
    <w:p>
      <w:pPr>
        <w:pStyle w:val="Heading3"/>
      </w:pPr>
      <w:r>
        <w:t xml:space="preserve">3.1 Raw Material Acquisition &amp; Pre-processing (Scope 3 - Upstream)</w:t>
      </w:r>
    </w:p>
    <w:p>
      <w:pPr>
        <w:pStyle w:val="FirstParagraph"/>
      </w:pPr>
      <w:r>
        <w:t xml:space="preserve">The Detailed Bill of Materials (BOM) for jrnwlppdxk, designated as "njqypgts", was used for high-accuracy material impact calculation. The BOM data provided specific emission factors and total carbon values, which have been directly incorporated.</w:t>
      </w:r>
    </w:p>
    <w:p>
      <w:pPr>
        <w:pStyle w:val="BodyText"/>
      </w:pPr>
      <w:r>
        <w:t xml:space="preserve">For illustrative purposes, assuming the "njqypgts" BOM parameter contained the following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w:t>
            </w:r>
          </w:p>
        </w:tc>
      </w:tr>
      <w:tr>
        <w:tc>
          <w:tcPr>
            <w:gridSpan w:val="7"/>
          </w:tcPr>
          <w:p>
            <w:pPr>
              <w:pStyle w:val="Compact"/>
              <w:jc w:val="left"/>
            </w:pPr>
            <w:r>
              <w:t xml:space="preserve">Total Material Emissions</w:t>
            </w:r>
          </w:p>
        </w:tc>
        <w:tc>
          <w:tcPr/>
          <w:p>
            <w:pPr>
              <w:pStyle w:val="Compact"/>
              <w:jc w:val="left"/>
            </w:pPr>
            <w:r>
              <w:t xml:space="preserve">3.63</w:t>
            </w:r>
          </w:p>
        </w:tc>
      </w:tr>
    </w:tbl>
    <w:p>
      <w:pPr>
        <w:pStyle w:val="BodyText"/>
      </w:pPr>
      <w:r>
        <w:t xml:space="preserve">*Note: The "Total Carbon" values from the provided BOM format were directly summed for material impact calculation.*</w:t>
      </w:r>
    </w:p>
    <w:bookmarkEnd w:id="33"/>
    <w:bookmarkStart w:id="34" w:name="manufacturingproduction-scope-1-2"/>
    <w:p>
      <w:pPr>
        <w:pStyle w:val="Heading3"/>
      </w:pPr>
      <w:r>
        <w:t xml:space="preserve">3.2 Manufacturing/Production (Scope 1 &amp; 2)</w:t>
      </w:r>
    </w:p>
    <w:p>
      <w:pPr>
        <w:pStyle w:val="FirstParagraph"/>
      </w:pPr>
      <w:r>
        <w:t xml:space="preserve">Production occurs in China. The energy consumption data provided is key to this stage.</w:t>
      </w:r>
    </w:p>
    <w:p>
      <w:pPr>
        <w:numPr>
          <w:ilvl w:val="0"/>
          <w:numId w:val="1002"/>
        </w:numPr>
        <w:pStyle w:val="Compact"/>
      </w:pPr>
      <w:r>
        <w:t xml:space="preserve">**Energy Intensity (lpzhimeinx):** 5.0 kWh/unit</w:t>
      </w:r>
    </w:p>
    <w:p>
      <w:pPr>
        <w:numPr>
          <w:ilvl w:val="0"/>
          <w:numId w:val="1002"/>
        </w:numPr>
        <w:pStyle w:val="Compact"/>
      </w:pPr>
      <w:r>
        <w:t xml:space="preserve">**Renewable Energy Usage (iyjzkirtek):** 30%</w:t>
      </w:r>
    </w:p>
    <w:p>
      <w:pPr>
        <w:numPr>
          <w:ilvl w:val="0"/>
          <w:numId w:val="1002"/>
        </w:numPr>
        <w:pStyle w:val="Compact"/>
      </w:pPr>
      <w:r>
        <w:t xml:space="preserve">**Non-renewable Energy:** 5.0 kWh/unit * (1 - 0.30) = 3.5 kWh/unit</w:t>
      </w:r>
    </w:p>
    <w:p>
      <w:pPr>
        <w:numPr>
          <w:ilvl w:val="0"/>
          <w:numId w:val="1002"/>
        </w:numPr>
        <w:pStyle w:val="Compact"/>
      </w:pPr>
      <w:r>
        <w:t xml:space="preserve">**China Electricity Grid Emission Factor:** 0.577 kgCO2e/kWh</w:t>
      </w:r>
    </w:p>
    <w:p>
      <w:pPr>
        <w:numPr>
          <w:ilvl w:val="0"/>
          <w:numId w:val="1002"/>
        </w:numPr>
        <w:pStyle w:val="Compact"/>
      </w:pPr>
      <w:r>
        <w:t xml:space="preserve">**Scope 2 Emissions (Purchased Electricity):** 3.5 kWh/unit * 0.577 kgCO2e/kWh = **2.02 kgCO2e/unit**</w:t>
      </w:r>
    </w:p>
    <w:p>
      <w:pPr>
        <w:numPr>
          <w:ilvl w:val="0"/>
          <w:numId w:val="1002"/>
        </w:numPr>
        <w:pStyle w:val="Compact"/>
      </w:pPr>
      <w:r>
        <w:t xml:space="preserve">**Scope 1 Emissions:** Assumed negligible for direct manufacturing processes for the purpose of this PCF unless specific on-site fuel combustion or refrigerant losses are explicitly identified.</w:t>
      </w:r>
    </w:p>
    <w:bookmarkEnd w:id="34"/>
    <w:bookmarkStart w:id="35" w:name="X11d18e195e422a1b1ff732a4555353136872e22"/>
    <w:p>
      <w:pPr>
        <w:pStyle w:val="Heading3"/>
      </w:pPr>
      <w:r>
        <w:t xml:space="preserve">3.3 Transport to Factory (Scope 3 - Upstream Logistics)</w:t>
      </w:r>
    </w:p>
    <w:p>
      <w:pPr>
        <w:pStyle w:val="FirstParagraph"/>
      </w:pPr>
      <w:r>
        <w:t xml:space="preserve">Raw materials and components are sourced with a "Europe Focused" supply chain and transported to the final production facility in China.</w:t>
      </w:r>
    </w:p>
    <w:p>
      <w:pPr>
        <w:numPr>
          <w:ilvl w:val="0"/>
          <w:numId w:val="1003"/>
        </w:numPr>
        <w:pStyle w:val="Compact"/>
      </w:pPr>
      <w:r>
        <w:t xml:space="preserve">**Transport Mode ("Select Mode"):** Ocean Freight (Europe to China) followed by Truck (to factory).</w:t>
      </w:r>
    </w:p>
    <w:p>
      <w:pPr>
        <w:numPr>
          <w:ilvl w:val="0"/>
          <w:numId w:val="1003"/>
        </w:numPr>
        <w:pStyle w:val="Compact"/>
      </w:pPr>
      <w:r>
        <w:t xml:space="preserve">**Transport Distance (tiljifhjus):** 15,000 km (Ocean) + 500 km (Truck)</w:t>
      </w:r>
    </w:p>
    <w:p>
      <w:pPr>
        <w:numPr>
          <w:ilvl w:val="0"/>
          <w:numId w:val="1003"/>
        </w:numPr>
        <w:pStyle w:val="Compact"/>
      </w:pPr>
      <w:r>
        <w:t xml:space="preserve">**Illustrative Product Weight for Transport:** 1.0 kg/unit (including packaging). This is an assumption based on the BOM.</w:t>
      </w:r>
    </w:p>
    <w:p>
      <w:pPr>
        <w:numPr>
          <w:ilvl w:val="0"/>
          <w:numId w:val="1003"/>
        </w:numPr>
        <w:pStyle w:val="Compact"/>
      </w:pPr>
      <w:r>
        <w:t xml:space="preserve">**Ocean Freight Emission Factor:** 0.016 kgCO2e/tonne-km</w:t>
      </w:r>
    </w:p>
    <w:p>
      <w:pPr>
        <w:numPr>
          <w:ilvl w:val="0"/>
          <w:numId w:val="1003"/>
        </w:numPr>
        <w:pStyle w:val="Compact"/>
      </w:pPr>
      <w:r>
        <w:t xml:space="preserve">**Truck Freight Emission Factor:** 0.129 kgCO2e/tonne-km</w:t>
      </w:r>
    </w:p>
    <w:p>
      <w:pPr>
        <w:pStyle w:val="FirstParagraph"/>
      </w:pPr>
      <w:r>
        <w:t xml:space="preserve">**Calculations:**</w:t>
      </w:r>
    </w:p>
    <w:p>
      <w:pPr>
        <w:numPr>
          <w:ilvl w:val="0"/>
          <w:numId w:val="1004"/>
        </w:numPr>
        <w:pStyle w:val="Compact"/>
      </w:pPr>
      <w:r>
        <w:t xml:space="preserve">**Ocean Freight Emissions:** (15,000 km * 1.0 kg) * (1 tonne / 1000 kg) * 0.016 kgCO2e/tonne-km = 0.24 kgCO2e/unit</w:t>
      </w:r>
    </w:p>
    <w:p>
      <w:pPr>
        <w:numPr>
          <w:ilvl w:val="0"/>
          <w:numId w:val="1004"/>
        </w:numPr>
        <w:pStyle w:val="Compact"/>
      </w:pPr>
      <w:r>
        <w:t xml:space="preserve">**Truck Freight Emissions:** (500 km * 1.0 kg) * (1 tonne / 1000 kg) * 0.129 kgCO2e/tonne-km = 0.0645 kgCO2e/unit</w:t>
      </w:r>
    </w:p>
    <w:p>
      <w:pPr>
        <w:numPr>
          <w:ilvl w:val="0"/>
          <w:numId w:val="1004"/>
        </w:numPr>
        <w:pStyle w:val="Compact"/>
      </w:pPr>
      <w:r>
        <w:t xml:space="preserve">**Total Upstream Transport Emissions:** 0.24 + 0.0645 = **0.30 kgCO2e/unit**</w:t>
      </w:r>
    </w:p>
    <w:bookmarkEnd w:id="35"/>
    <w:bookmarkStart w:id="36" w:name="X9d77e1ba3fcc49537b99f509106be104598d97c"/>
    <w:p>
      <w:pPr>
        <w:pStyle w:val="Heading3"/>
      </w:pPr>
      <w:r>
        <w:t xml:space="preserve">3.4 Distribution to Customer (Scope 3 - Downstream Logistics)</w:t>
      </w:r>
    </w:p>
    <w:p>
      <w:pPr>
        <w:pStyle w:val="FirstParagraph"/>
      </w:pPr>
      <w:r>
        <w:t xml:space="preserve">Transport from the factory in China to the end customer.</w:t>
      </w:r>
    </w:p>
    <w:p>
      <w:pPr>
        <w:numPr>
          <w:ilvl w:val="0"/>
          <w:numId w:val="1005"/>
        </w:numPr>
        <w:pStyle w:val="Compact"/>
      </w:pPr>
      <w:r>
        <w:t xml:space="preserve">**Last-Mile Delivery Channel ("Delivery Type"):** Small Parcel Courier.</w:t>
      </w:r>
    </w:p>
    <w:p>
      <w:pPr>
        <w:numPr>
          <w:ilvl w:val="0"/>
          <w:numId w:val="1005"/>
        </w:numPr>
        <w:pStyle w:val="Compact"/>
      </w:pPr>
      <w:r>
        <w:t xml:space="preserve">**Illustrative Average Distance (China to Global Customer):** 8,000 km (Long-Haul) + 100 km (Last-Mile Courier).</w:t>
      </w:r>
    </w:p>
    <w:p>
      <w:pPr>
        <w:numPr>
          <w:ilvl w:val="0"/>
          <w:numId w:val="1005"/>
        </w:numPr>
        <w:pStyle w:val="Compact"/>
      </w:pPr>
      <w:r>
        <w:t xml:space="preserve">**Illustrative Product Weight:** 1.0 kg/unit.</w:t>
      </w:r>
    </w:p>
    <w:p>
      <w:pPr>
        <w:numPr>
          <w:ilvl w:val="0"/>
          <w:numId w:val="1005"/>
        </w:numPr>
        <w:pStyle w:val="Compact"/>
      </w:pPr>
      <w:r>
        <w:t xml:space="preserve">**Combined Long-Haul Transport Emission Factor (Illustrative blended factor for ocean/air):** 0.05 kgCO2e/tonne-km</w:t>
      </w:r>
    </w:p>
    <w:p>
      <w:pPr>
        <w:numPr>
          <w:ilvl w:val="0"/>
          <w:numId w:val="1005"/>
        </w:numPr>
        <w:pStyle w:val="Compact"/>
      </w:pPr>
      <w:r>
        <w:t xml:space="preserve">**Last-Mile Courier Emission Factor (Illustrative for small van delivery):** 0.5 kgCO2e/tonne-km</w:t>
      </w:r>
    </w:p>
    <w:p>
      <w:pPr>
        <w:pStyle w:val="FirstParagraph"/>
      </w:pPr>
      <w:r>
        <w:t xml:space="preserve">**Calculations:**</w:t>
      </w:r>
    </w:p>
    <w:p>
      <w:pPr>
        <w:numPr>
          <w:ilvl w:val="0"/>
          <w:numId w:val="1006"/>
        </w:numPr>
        <w:pStyle w:val="Compact"/>
      </w:pPr>
      <w:r>
        <w:t xml:space="preserve">**Long-Haul Emissions:** (8,000 km * 1.0 kg) * (1 tonne / 1000 kg) * 0.05 kgCO2e/tonne-km = 0.40 kgCO2e/unit</w:t>
      </w:r>
    </w:p>
    <w:p>
      <w:pPr>
        <w:numPr>
          <w:ilvl w:val="0"/>
          <w:numId w:val="1006"/>
        </w:numPr>
        <w:pStyle w:val="Compact"/>
      </w:pPr>
      <w:r>
        <w:t xml:space="preserve">**Last-Mile Courier Emissions:** (100 km * 1.0 kg) * (1 tonne / 1000 kg) * 0.5 kgCO2e/tonne-km = 0.05 kgCO2e/unit</w:t>
      </w:r>
    </w:p>
    <w:p>
      <w:pPr>
        <w:numPr>
          <w:ilvl w:val="0"/>
          <w:numId w:val="1006"/>
        </w:numPr>
        <w:pStyle w:val="Compact"/>
      </w:pPr>
      <w:r>
        <w:t xml:space="preserve">**Total Downstream Transport Emissions:** 0.40 + 0.05 = **0.45 kgCO2e/unit**</w:t>
      </w:r>
    </w:p>
    <w:bookmarkEnd w:id="36"/>
    <w:bookmarkStart w:id="37" w:name="use-phase-scope-3---downstream"/>
    <w:p>
      <w:pPr>
        <w:pStyle w:val="Heading3"/>
      </w:pPr>
      <w:r>
        <w:t xml:space="preserve">3.5 Use Phase (Scope 3 - Downstream)</w:t>
      </w:r>
    </w:p>
    <w:p>
      <w:pPr>
        <w:pStyle w:val="FirstParagraph"/>
      </w:pPr>
      <w:r>
        <w:t xml:space="preserve">The energy consumption during the product\'s operational lifespan is a significant factor.</w:t>
      </w:r>
    </w:p>
    <w:p>
      <w:pPr>
        <w:numPr>
          <w:ilvl w:val="0"/>
          <w:numId w:val="1007"/>
        </w:numPr>
        <w:pStyle w:val="Compact"/>
      </w:pPr>
      <w:r>
        <w:t xml:space="preserve">**Product Lifespan (kryvyhgymm):** 5 years</w:t>
      </w:r>
    </w:p>
    <w:p>
      <w:pPr>
        <w:numPr>
          <w:ilvl w:val="0"/>
          <w:numId w:val="1007"/>
        </w:numPr>
        <w:pStyle w:val="Compact"/>
      </w:pPr>
      <w:r>
        <w:t xml:space="preserve">**Energy Consumption in Use (gejlvrqtno):** 10 kWh/year</w:t>
      </w:r>
    </w:p>
    <w:p>
      <w:pPr>
        <w:numPr>
          <w:ilvl w:val="0"/>
          <w:numId w:val="1007"/>
        </w:numPr>
        <w:pStyle w:val="Compact"/>
      </w:pPr>
      <w:r>
        <w:t xml:space="preserve">**Total Energy Consumption over Lifespan:** 10 kWh/year * 5 years = 50 kWh</w:t>
      </w:r>
    </w:p>
    <w:p>
      <w:pPr>
        <w:numPr>
          <w:ilvl w:val="0"/>
          <w:numId w:val="1007"/>
        </w:numPr>
        <w:pStyle w:val="Compact"/>
      </w:pPr>
      <w:r>
        <w:t xml:space="preserve">**Average Global Electricity Grid Emission Factor:** 0.400 kgCO2/kWh</w:t>
      </w:r>
    </w:p>
    <w:p>
      <w:pPr>
        <w:numPr>
          <w:ilvl w:val="0"/>
          <w:numId w:val="1007"/>
        </w:numPr>
        <w:pStyle w:val="Compact"/>
      </w:pPr>
      <w:r>
        <w:t xml:space="preserve">**Use Phase Emissions:** 50 kWh * 0.400 kgCO2/kWh = **20.00 kgCO2e/unit**</w:t>
      </w:r>
    </w:p>
    <w:bookmarkEnd w:id="37"/>
    <w:bookmarkStart w:id="38" w:name="end-of-life-eol-scope-3---downstream"/>
    <w:p>
      <w:pPr>
        <w:pStyle w:val="Heading3"/>
      </w:pPr>
      <w:r>
        <w:t xml:space="preserve">3.6 End-of-Life (EoL) (Scope 3 - Downstream)</w:t>
      </w:r>
    </w:p>
    <w:p>
      <w:pPr>
        <w:pStyle w:val="FirstParagraph"/>
      </w:pPr>
      <w:r>
        <w:t xml:space="preserve">This stage considers emissions and potential avoided emissions from disposal, recycling, and circular economy initiatives.</w:t>
      </w:r>
    </w:p>
    <w:p>
      <w:pPr>
        <w:numPr>
          <w:ilvl w:val="0"/>
          <w:numId w:val="1008"/>
        </w:numPr>
        <w:pStyle w:val="Compact"/>
      </w:pPr>
      <w:r>
        <w:t xml:space="preserve">**Recyclability Percentage (skygjuwviy):** 60%</w:t>
      </w:r>
    </w:p>
    <w:p>
      <w:pPr>
        <w:numPr>
          <w:ilvl w:val="0"/>
          <w:numId w:val="1008"/>
        </w:numPr>
        <w:pStyle w:val="Compact"/>
      </w:pPr>
      <w:r>
        <w:t xml:space="preserve">**Circular/Take-back Programs (nlskztirio):** Active take-back program for electronics components.</w:t>
      </w:r>
    </w:p>
    <w:p>
      <w:pPr>
        <w:numPr>
          <w:ilvl w:val="0"/>
          <w:numId w:val="1008"/>
        </w:numPr>
        <w:pStyle w:val="Compact"/>
      </w:pPr>
      <w:r>
        <w:t xml:space="preserve">**Illustrative Product Weight:** 1.0 kg/unit</w:t>
      </w:r>
    </w:p>
    <w:p>
      <w:pPr>
        <w:numPr>
          <w:ilvl w:val="0"/>
          <w:numId w:val="1008"/>
        </w:numPr>
        <w:pStyle w:val="Compact"/>
      </w:pPr>
      <w:r>
        <w:t xml:space="preserve">**Portion Recycled:** 1.0 kg * 0.60 = 0.6 kg</w:t>
      </w:r>
    </w:p>
    <w:p>
      <w:pPr>
        <w:numPr>
          <w:ilvl w:val="0"/>
          <w:numId w:val="1008"/>
        </w:numPr>
        <w:pStyle w:val="Compact"/>
      </w:pPr>
      <w:r>
        <w:t xml:space="preserve">**Portion Disposed (Landfill/Incineration):** 1.0 kg * (1 - 0.60) = 0.4 kg</w:t>
      </w:r>
    </w:p>
    <w:p>
      <w:pPr>
        <w:pStyle w:val="FirstParagraph"/>
      </w:pPr>
      <w:r>
        <w:t xml:space="preserve">**Calculations:**</w:t>
      </w:r>
    </w:p>
    <w:p>
      <w:pPr>
        <w:numPr>
          <w:ilvl w:val="0"/>
          <w:numId w:val="1009"/>
        </w:numPr>
        <w:pStyle w:val="Compact"/>
      </w:pPr>
      <w:r>
        <w:t xml:space="preserve">**Emissions from Disposal (Landfill/Incineration):**</w:t>
      </w:r>
      <w:r>
        <w:t xml:space="preserve"> </w:t>
      </w:r>
      <w:r>
        <w:t xml:space="preserve">* Emission Factor for Conventional Landfilling of Mixed Waste: 0.3 kgCO2e/kg</w:t>
      </w:r>
      <w:r>
        <w:t xml:space="preserve"> </w:t>
      </w:r>
      <w:r>
        <w:t xml:space="preserve">* 0.4 kg * 0.3 kgCO2e/kg = 0.12 kgCO2e/unit</w:t>
      </w:r>
    </w:p>
    <w:p>
      <w:pPr>
        <w:numPr>
          <w:ilvl w:val="0"/>
          <w:numId w:val="1009"/>
        </w:numPr>
        <w:pStyle w:val="Compact"/>
      </w:pPr>
      <w:r>
        <w:t xml:space="preserve">**Avoided Emissions from Recycling/Take-back Programs:**</w:t>
      </w:r>
      <w:r>
        <w:t xml:space="preserve"> </w:t>
      </w:r>
      <w:r>
        <w:t xml:space="preserve">* The "Active take-back program for electronics components" implies high-value recycling, which avoids virgin material production.</w:t>
      </w:r>
      <w:r>
        <w:t xml:space="preserve"> </w:t>
      </w:r>
      <w:r>
        <w:t xml:space="preserve">* Illustrative Avoided Emission Factor for Electronics Recycling (based on principles of avoiding virgin material production): -2.0 kgCO2e/kg</w:t>
      </w:r>
      <w:r>
        <w:t xml:space="preserve"> </w:t>
      </w:r>
      <w:r>
        <w:t xml:space="preserve">* 0.6 kg * -2.0 kgCO2e/kg = -1.20 kgCO2e/unit</w:t>
      </w:r>
    </w:p>
    <w:p>
      <w:pPr>
        <w:numPr>
          <w:ilvl w:val="0"/>
          <w:numId w:val="1009"/>
        </w:numPr>
        <w:pStyle w:val="Compact"/>
      </w:pPr>
      <w:r>
        <w:t xml:space="preserve">**Total End-of-Life Emissions:** 0.12 - 1.20 = **-1.08 kgCO2e/unit** (Net carbon benefit due to high recycling efficiency)</w:t>
      </w:r>
    </w:p>
    <w:p>
      <w:r>
        <w:pict>
          <v:rect style="width:0;height:1.5pt" o:hralign="center" o:hrstd="t" o:hr="t"/>
        </w:pict>
      </w:r>
    </w:p>
    <w:bookmarkEnd w:id="38"/>
    <w:bookmarkEnd w:id="39"/>
    <w:bookmarkStart w:id="45" w:name="X41e29fe20f48223bdb9d6dc3b0411cd59e62b65"/>
    <w:p>
      <w:pPr>
        <w:pStyle w:val="Heading2"/>
      </w:pPr>
      <w:r>
        <w:t xml:space="preserve">4. Emissions Calculation and Hotspot Analysis</w:t>
      </w:r>
    </w:p>
    <w:p>
      <w:pPr>
        <w:pStyle w:val="FirstParagraph"/>
      </w:pPr>
      <w:r>
        <w:t xml:space="preserve">This section aggregates the emissions from each lifecycle stage and categorizes them according to the GHG Protocol Scopes.</w:t>
      </w:r>
    </w:p>
    <w:bookmarkStart w:id="40" w:name="total-product-carbon-footprint"/>
    <w:p>
      <w:pPr>
        <w:pStyle w:val="Heading3"/>
      </w:pPr>
      <w:r>
        <w:t xml:space="preserve">4.1 Total Product Carbon Footprint</w:t>
      </w:r>
    </w:p>
    <w:p>
      <w:pPr>
        <w:pStyle w:val="FirstParagraph"/>
      </w:pPr>
      <w:r>
        <w:t xml:space="preserve">The total PCF for 1.0 functional unit of jrnwlppdxk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Protocol Scope</w:t>
            </w:r>
          </w:p>
        </w:tc>
      </w:tr>
      <w:tr>
        <w:tc>
          <w:tcPr/>
          <w:p>
            <w:pPr>
              <w:pStyle w:val="Compact"/>
              <w:jc w:val="left"/>
            </w:pPr>
            <w:r>
              <w:t xml:space="preserve">Raw Material Acquisition &amp; Pre-processing</w:t>
            </w:r>
          </w:p>
        </w:tc>
        <w:tc>
          <w:tcPr/>
          <w:p>
            <w:pPr>
              <w:pStyle w:val="Compact"/>
              <w:jc w:val="left"/>
            </w:pPr>
            <w:r>
              <w:t xml:space="preserve">3.63</w:t>
            </w:r>
          </w:p>
        </w:tc>
        <w:tc>
          <w:tcPr/>
          <w:p>
            <w:pPr>
              <w:pStyle w:val="Compact"/>
              <w:jc w:val="left"/>
            </w:pPr>
            <w:r>
              <w:t xml:space="preserve">Scope 3 (Upstream)</w:t>
            </w:r>
          </w:p>
        </w:tc>
      </w:tr>
      <w:tr>
        <w:tc>
          <w:tcPr/>
          <w:p>
            <w:pPr>
              <w:pStyle w:val="Compact"/>
              <w:jc w:val="left"/>
            </w:pPr>
            <w:r>
              <w:t xml:space="preserve">Manufacturing (Scope 1 &amp; 2)</w:t>
            </w:r>
          </w:p>
        </w:tc>
        <w:tc>
          <w:tcPr/>
          <w:p>
            <w:pPr>
              <w:pStyle w:val="Compact"/>
              <w:jc w:val="left"/>
            </w:pPr>
            <w:r>
              <w:t xml:space="preserve">2.02</w:t>
            </w:r>
          </w:p>
        </w:tc>
        <w:tc>
          <w:tcPr/>
          <w:p>
            <w:pPr>
              <w:pStyle w:val="Compact"/>
              <w:jc w:val="left"/>
            </w:pPr>
            <w:r>
              <w:t xml:space="preserve">Scope 2</w:t>
            </w:r>
          </w:p>
        </w:tc>
      </w:tr>
      <w:tr>
        <w:tc>
          <w:tcPr/>
          <w:p>
            <w:pPr>
              <w:pStyle w:val="Compact"/>
              <w:jc w:val="left"/>
            </w:pPr>
            <w:r>
              <w:t xml:space="preserve">Transport to Factory</w:t>
            </w:r>
          </w:p>
        </w:tc>
        <w:tc>
          <w:tcPr/>
          <w:p>
            <w:pPr>
              <w:pStyle w:val="Compact"/>
              <w:jc w:val="left"/>
            </w:pPr>
            <w:r>
              <w:t xml:space="preserve">0.30</w:t>
            </w:r>
          </w:p>
        </w:tc>
        <w:tc>
          <w:tcPr/>
          <w:p>
            <w:pPr>
              <w:pStyle w:val="Compact"/>
              <w:jc w:val="left"/>
            </w:pPr>
            <w:r>
              <w:t xml:space="preserve">Scope 3 (Upstream)</w:t>
            </w:r>
          </w:p>
        </w:tc>
      </w:tr>
      <w:tr>
        <w:tc>
          <w:tcPr/>
          <w:p>
            <w:pPr>
              <w:pStyle w:val="Compact"/>
              <w:jc w:val="left"/>
            </w:pPr>
            <w:r>
              <w:t xml:space="preserve">Distribution to Customer</w:t>
            </w:r>
          </w:p>
        </w:tc>
        <w:tc>
          <w:tcPr/>
          <w:p>
            <w:pPr>
              <w:pStyle w:val="Compact"/>
              <w:jc w:val="left"/>
            </w:pPr>
            <w:r>
              <w:t xml:space="preserve">0.45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-1.08</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25.32</w:t>
            </w:r>
          </w:p>
        </w:tc>
        <w:tc>
          <w:tcPr/>
          <w:p>
            <w:pPr>
              <w:pStyle w:val="Compact"/>
            </w:pPr>
          </w:p>
        </w:tc>
      </w:tr>
    </w:tbl>
    <w:bookmarkEnd w:id="40"/>
    <w:bookmarkStart w:id="41" w:name="ghg-protocol-scope-breakdown"/>
    <w:p>
      <w:pPr>
        <w:pStyle w:val="Heading3"/>
      </w:pPr>
      <w:r>
        <w:t xml:space="preserve">4.2 GHG Protocol Scope Breakdown</w:t>
      </w:r>
    </w:p>
    <w:p>
      <w:pPr>
        <w:pStyle w:val="FirstParagraph"/>
      </w:pPr>
      <w:r>
        <w:t xml:space="preserve">Categorization of emissions as per GHG Protocol:</w:t>
      </w:r>
    </w:p>
    <w:p>
      <w:pPr>
        <w:numPr>
          <w:ilvl w:val="0"/>
          <w:numId w:val="1010"/>
        </w:numPr>
        <w:pStyle w:val="Compact"/>
      </w:pPr>
      <w:r>
        <w:t xml:space="preserve">**Scope 1 Emissions:** 0.0 kgCO2e/unit (Assumed negligible for direct manufacturing unless specific on-site fuel combustion or refrigerant losses are identified).</w:t>
      </w:r>
    </w:p>
    <w:p>
      <w:pPr>
        <w:numPr>
          <w:ilvl w:val="0"/>
          <w:numId w:val="1010"/>
        </w:numPr>
        <w:pStyle w:val="Compact"/>
      </w:pPr>
      <w:r>
        <w:t xml:space="preserve">**Scope 2 Emissions:** 2.02 kgCO2e/unit (From purchased electricity for manufacturing).</w:t>
      </w:r>
    </w:p>
    <w:p>
      <w:pPr>
        <w:numPr>
          <w:ilvl w:val="0"/>
          <w:numId w:val="1010"/>
        </w:numPr>
        <w:pStyle w:val="Compact"/>
      </w:pPr>
      <w:r>
        <w:t xml:space="preserve">**Scope 3 Emissions:**</w:t>
      </w:r>
    </w:p>
    <w:p>
      <w:pPr>
        <w:numPr>
          <w:ilvl w:val="1"/>
          <w:numId w:val="1011"/>
        </w:numPr>
        <w:pStyle w:val="Compact"/>
      </w:pPr>
      <w:r>
        <w:t xml:space="preserve">Raw Material Acquisition &amp; Pre-processing: 3.63 kgCO2e/unit</w:t>
      </w:r>
    </w:p>
    <w:p>
      <w:pPr>
        <w:numPr>
          <w:ilvl w:val="1"/>
          <w:numId w:val="1011"/>
        </w:numPr>
        <w:pStyle w:val="Compact"/>
      </w:pPr>
      <w:r>
        <w:t xml:space="preserve">Transport to Factory: 0.30 kgCO2e/unit</w:t>
      </w:r>
    </w:p>
    <w:p>
      <w:pPr>
        <w:numPr>
          <w:ilvl w:val="1"/>
          <w:numId w:val="1011"/>
        </w:numPr>
        <w:pStyle w:val="Compact"/>
      </w:pPr>
      <w:r>
        <w:t xml:space="preserve">Distribution to Customer: 0.45 kgCO2e/unit</w:t>
      </w:r>
    </w:p>
    <w:p>
      <w:pPr>
        <w:numPr>
          <w:ilvl w:val="1"/>
          <w:numId w:val="1011"/>
        </w:numPr>
        <w:pStyle w:val="Compact"/>
      </w:pPr>
      <w:r>
        <w:t xml:space="preserve">Use Phase: 20.00 kgCO2e/unit</w:t>
      </w:r>
    </w:p>
    <w:p>
      <w:pPr>
        <w:numPr>
          <w:ilvl w:val="1"/>
          <w:numId w:val="1011"/>
        </w:numPr>
        <w:pStyle w:val="Compact"/>
      </w:pPr>
      <w:r>
        <w:t xml:space="preserve">End-of-Life: -1.08 kgCO2e/unit</w:t>
      </w:r>
    </w:p>
    <w:p>
      <w:pPr>
        <w:numPr>
          <w:ilvl w:val="1"/>
          <w:numId w:val="1011"/>
        </w:numPr>
        <w:pStyle w:val="Compact"/>
      </w:pPr>
      <w:r>
        <w:rPr>
          <w:bCs/>
          <w:b/>
        </w:rPr>
        <w:t xml:space="preserve">Total Scope 3 Emissions:</w:t>
      </w:r>
      <w:r>
        <w:t xml:space="preserve"> </w:t>
      </w:r>
      <w:r>
        <w:t xml:space="preserve">3.63 + 0.30 + 0.45 + 20.00 - 1.08 = 23.30 kgCO2e/unit</w:t>
      </w:r>
    </w:p>
    <w:p>
      <w:pPr>
        <w:pStyle w:val="FirstParagraph"/>
      </w:pPr>
      <w:r>
        <w:t xml:space="preserve">The total PCF is 0.0 (Scope 1) + 2.02 (Scope 2) + 23.30 (Scope 3) = **25.32 kgCO2e/unit**.</w:t>
      </w:r>
    </w:p>
    <w:bookmarkEnd w:id="41"/>
    <w:bookmarkStart w:id="42" w:name="hotspot-analysis"/>
    <w:p>
      <w:pPr>
        <w:pStyle w:val="Heading3"/>
      </w:pPr>
      <w:r>
        <w:t xml:space="preserve">4.3 Hotspot Analysis</w:t>
      </w:r>
    </w:p>
    <w:p>
      <w:pPr>
        <w:pStyle w:val="FirstParagraph"/>
      </w:pPr>
      <w:r>
        <w:t xml:space="preserve">Based on the calculations, the primary emission hotspots for jrnwlppdxk are:</w:t>
      </w:r>
    </w:p>
    <w:p>
      <w:pPr>
        <w:numPr>
          <w:ilvl w:val="0"/>
          <w:numId w:val="1012"/>
        </w:numPr>
        <w:pStyle w:val="Compact"/>
      </w:pPr>
      <w:r>
        <w:t xml:space="preserve">**Use Phase (20.00 kgCO2e/unit):** This stage accounts for approximately 79% of the total PCF. This is largely driven by the product\'s energy consumption over its 5-year lifespan. This is the most significant area for intervention.</w:t>
      </w:r>
    </w:p>
    <w:p>
      <w:pPr>
        <w:numPr>
          <w:ilvl w:val="0"/>
          <w:numId w:val="1012"/>
        </w:numPr>
        <w:pStyle w:val="Compact"/>
      </w:pPr>
      <w:r>
        <w:t xml:space="preserve">**Raw Material Acquisition &amp; Pre-processing (3.63 kgCO2e/unit):** Materials contribute about 14% of the total footprint. Specific components like Aluminum Frame (1.60 kgCO2e) and Plastic Casing (1.25 kgCO2e) are notable contributors within this category.</w:t>
      </w:r>
    </w:p>
    <w:p>
      <w:pPr>
        <w:numPr>
          <w:ilvl w:val="0"/>
          <w:numId w:val="1012"/>
        </w:numPr>
        <w:pStyle w:val="Compact"/>
      </w:pPr>
      <w:r>
        <w:t xml:space="preserve">**Manufacturing (Scope 2) (2.02 kgCO2e/unit):** Purchased electricity for production contributes about 8% of the footprint, influenced by the electricity grid mix in China.</w:t>
      </w:r>
    </w:p>
    <w:bookmarkEnd w:id="42"/>
    <w:bookmarkStart w:id="43" w:name="lsr-update-application"/>
    <w:p>
      <w:pPr>
        <w:pStyle w:val="Heading3"/>
      </w:pPr>
      <w:r>
        <w:t xml:space="preserve">4.4 2026 LSR Update Application</w:t>
      </w:r>
    </w:p>
    <w:p>
      <w:pPr>
        <w:pStyle w:val="FirstParagraph"/>
      </w:pPr>
      <w:r>
        <w:t xml:space="preserve">While jrnwlppdxk itself may not directly involve significant land-use change, the 2026 LSR Standard has been considered in the following ways:</w:t>
      </w:r>
    </w:p>
    <w:p>
      <w:pPr>
        <w:numPr>
          <w:ilvl w:val="0"/>
          <w:numId w:val="1013"/>
        </w:numPr>
        <w:pStyle w:val="Compact"/>
      </w:pPr>
      <w:r>
        <w:t xml:space="preserve">**Material Sourcing:** The emission factors used for materials (e.g., wood-based products if applicable) would incorporate land-use change emissions where relevant. In this illustrative BOM, while not explicitly detailed, the underlying factors for \'Pulping &amp; Forming\' for cardboard would include LSR considerations.</w:t>
      </w:r>
    </w:p>
    <w:p>
      <w:pPr>
        <w:numPr>
          <w:ilvl w:val="0"/>
          <w:numId w:val="1013"/>
        </w:numPr>
        <w:pStyle w:val="Compact"/>
      </w:pPr>
      <w:r>
        <w:t xml:space="preserve">**Carbon Removals:** The negative emissions attributed to End-of-Life (recycling) reflect avoided emissions which are a form of carbon benefits. If the product or its components were bio-based with proven carbon sequestration, these would be accounted for as removals under LSR. The active take-back program contributes to a circular economy, which LSR encourages through the concept of \'stock change\' and material cycling.</w:t>
      </w:r>
    </w:p>
    <w:bookmarkEnd w:id="43"/>
    <w:bookmarkStart w:id="44" w:name="scope-3-coverage-compliance"/>
    <w:p>
      <w:pPr>
        <w:pStyle w:val="Heading3"/>
      </w:pPr>
      <w:r>
        <w:t xml:space="preserve">4.5 Scope 3 Coverage Compliance</w:t>
      </w:r>
    </w:p>
    <w:p>
      <w:pPr>
        <w:pStyle w:val="FirstParagraph"/>
      </w:pPr>
      <w:r>
        <w:t xml:space="preserve">This analysis has included all significant upstream and downstream Scope 3 categories: Purchased Goods and Services (materials), Upstream Transportation and Distribution, Downstream Transportation and Distribution, Use of Sold Products, and End-of-Life Treatment of Sold Products. By covering these major categories, the report aims to achieve well over the 95% coverage requirement for Scope 3 reporting.</w:t>
      </w:r>
    </w:p>
    <w:p>
      <w:r>
        <w:pict>
          <v:rect style="width:0;height:1.5pt" o:hralign="center" o:hrstd="t" o:hr="t"/>
        </w:pict>
      </w:r>
    </w:p>
    <w:bookmarkEnd w:id="44"/>
    <w:bookmarkEnd w:id="45"/>
    <w:bookmarkStart w:id="48" w:name="conclusions-and-recommendations"/>
    <w:p>
      <w:pPr>
        <w:pStyle w:val="Heading2"/>
      </w:pPr>
      <w:r>
        <w:t xml:space="preserve">5. Conclusions and Recommendations</w:t>
      </w:r>
    </w:p>
    <w:p>
      <w:pPr>
        <w:pStyle w:val="FirstParagraph"/>
      </w:pPr>
      <w:r>
        <w:t xml:space="preserve">The Product Carbon Footprint for jrnwlppdxk is **25.32 kgCO2e per unit**. The analysis clearly identifies the Use Phase as the most significant contributor to the product\'s overall carbon footprint, followed by raw material acquisition and manufacturing energy.</w:t>
      </w:r>
    </w:p>
    <w:bookmarkStart w:id="46" w:name="key-insights"/>
    <w:p>
      <w:pPr>
        <w:pStyle w:val="Heading3"/>
      </w:pPr>
      <w:r>
        <w:t xml:space="preserve">5.1 Key Insights</w:t>
      </w:r>
    </w:p>
    <w:p>
      <w:pPr>
        <w:numPr>
          <w:ilvl w:val="0"/>
          <w:numId w:val="1014"/>
        </w:numPr>
        <w:pStyle w:val="Compact"/>
      </w:pPr>
      <w:r>
        <w:t xml:space="preserve">The **Use Phase** dominates the PCF, highlighting the importance of energy efficiency during the product\'s operational life.</w:t>
      </w:r>
    </w:p>
    <w:p>
      <w:pPr>
        <w:numPr>
          <w:ilvl w:val="0"/>
          <w:numId w:val="1014"/>
        </w:numPr>
        <w:pStyle w:val="Compact"/>
      </w:pPr>
      <w:r>
        <w:t xml:space="preserve">**Material choices** have a substantial impact, particularly for components like aluminum and plastic.</w:t>
      </w:r>
    </w:p>
    <w:p>
      <w:pPr>
        <w:numPr>
          <w:ilvl w:val="0"/>
          <w:numId w:val="1014"/>
        </w:numPr>
        <w:pStyle w:val="Compact"/>
      </w:pPr>
      <w:r>
        <w:t xml:space="preserve">**Manufacturing energy** in China, despite some renewable energy usage, still contributes significantly due to the grid intensity.</w:t>
      </w:r>
    </w:p>
    <w:p>
      <w:pPr>
        <w:numPr>
          <w:ilvl w:val="0"/>
          <w:numId w:val="1014"/>
        </w:numPr>
        <w:pStyle w:val="Compact"/>
      </w:pPr>
      <w:r>
        <w:t xml:space="preserve">The **End-of-Life stage demonstrates a net carbon benefit** due to high recyclability and an active take-back program, underscoring the positive impact of circular economy initiatives.</w:t>
      </w:r>
    </w:p>
    <w:bookmarkEnd w:id="46"/>
    <w:bookmarkStart w:id="47" w:name="recommendations-for-emissions-reduction"/>
    <w:p>
      <w:pPr>
        <w:pStyle w:val="Heading3"/>
      </w:pPr>
      <w:r>
        <w:t xml:space="preserve">5.2 Recommendations for Emissions Reduction</w:t>
      </w:r>
    </w:p>
    <w:p>
      <w:pPr>
        <w:pStyle w:val="FirstParagraph"/>
      </w:pPr>
      <w:r>
        <w:t xml:space="preserve">To reduce the PCF of jrnwlppdxk, vvyhkovlhf should focus on the following areas:</w:t>
      </w:r>
    </w:p>
    <w:p>
      <w:pPr>
        <w:numPr>
          <w:ilvl w:val="0"/>
          <w:numId w:val="1015"/>
        </w:numPr>
        <w:pStyle w:val="Compact"/>
      </w:pPr>
      <w:r>
        <w:t xml:space="preserve">**Optimize Use Phase Energy Efficiency:**</w:t>
      </w:r>
    </w:p>
    <w:p>
      <w:pPr>
        <w:numPr>
          <w:ilvl w:val="1"/>
          <w:numId w:val="1016"/>
        </w:numPr>
        <w:pStyle w:val="Compact"/>
      </w:pPr>
      <w:r>
        <w:t xml:space="preserve">Invest in R&amp;D to significantly reduce the operational energy consumption of jrnwlppdxk.</w:t>
      </w:r>
    </w:p>
    <w:p>
      <w:pPr>
        <w:numPr>
          <w:ilvl w:val="1"/>
          <w:numId w:val="1016"/>
        </w:numPr>
        <w:pStyle w:val="Compact"/>
      </w:pPr>
      <w:r>
        <w:t xml:space="preserve">Explore smart features or low-power modes to minimize energy draw when not in active use.</w:t>
      </w:r>
    </w:p>
    <w:p>
      <w:pPr>
        <w:numPr>
          <w:ilvl w:val="1"/>
          <w:numId w:val="1016"/>
        </w:numPr>
        <w:pStyle w:val="Compact"/>
      </w:pPr>
      <w:r>
        <w:t xml:space="preserve">Educate consumers on efficient product usage and maintenance.</w:t>
      </w:r>
    </w:p>
    <w:p>
      <w:pPr>
        <w:numPr>
          <w:ilvl w:val="0"/>
          <w:numId w:val="1015"/>
        </w:numPr>
        <w:pStyle w:val="Compact"/>
      </w:pPr>
      <w:r>
        <w:t xml:space="preserve">**Enhance Renewable Energy Procurement for Manufacturing:**</w:t>
      </w:r>
    </w:p>
    <w:p>
      <w:pPr>
        <w:numPr>
          <w:ilvl w:val="1"/>
          <w:numId w:val="1017"/>
        </w:numPr>
        <w:pStyle w:val="Compact"/>
      </w:pPr>
      <w:r>
        <w:t xml:space="preserve">Increase the percentage of renewable energy used in manufacturing operations beyond the current 30% for the China facility. This could involve direct renewable energy purchasing agreements (PPAs), on-site generation, or procuring high-quality renewable energy certificates (RECs).</w:t>
      </w:r>
    </w:p>
    <w:p>
      <w:pPr>
        <w:numPr>
          <w:ilvl w:val="0"/>
          <w:numId w:val="1015"/>
        </w:numPr>
        <w:pStyle w:val="Compact"/>
      </w:pPr>
      <w:r>
        <w:t xml:space="preserve">**Sustainable Material Sourcing and Design:**</w:t>
      </w:r>
    </w:p>
    <w:p>
      <w:pPr>
        <w:numPr>
          <w:ilvl w:val="1"/>
          <w:numId w:val="1018"/>
        </w:numPr>
        <w:pStyle w:val="Compact"/>
      </w:pPr>
      <w:r>
        <w:t xml:space="preserve">Explore alternative materials with lower inherent carbon footprints for components like the plastic casing and aluminum frame.</w:t>
      </w:r>
    </w:p>
    <w:p>
      <w:pPr>
        <w:numPr>
          <w:ilvl w:val="1"/>
          <w:numId w:val="1018"/>
        </w:numPr>
        <w:pStyle w:val="Compact"/>
      </w:pPr>
      <w:r>
        <w:t xml:space="preserve">Prioritize materials with higher recycled content and ensure robust supply chain traceability for these materials.</w:t>
      </w:r>
    </w:p>
    <w:p>
      <w:pPr>
        <w:numPr>
          <w:ilvl w:val="1"/>
          <w:numId w:val="1018"/>
        </w:numPr>
        <w:pStyle w:val="Compact"/>
      </w:pPr>
      <w:r>
        <w:t xml:space="preserve">Focus on "design for disassembly" to further enhance recyclability and the effectiveness of take-back programs.</w:t>
      </w:r>
    </w:p>
    <w:p>
      <w:pPr>
        <w:numPr>
          <w:ilvl w:val="0"/>
          <w:numId w:val="1015"/>
        </w:numPr>
        <w:pStyle w:val="Compact"/>
      </w:pPr>
      <w:r>
        <w:t xml:space="preserve">**Strengthen Circular Economy Initiatives:**</w:t>
      </w:r>
    </w:p>
    <w:p>
      <w:pPr>
        <w:numPr>
          <w:ilvl w:val="1"/>
          <w:numId w:val="1019"/>
        </w:numPr>
        <w:pStyle w:val="Compact"/>
      </w:pPr>
      <w:r>
        <w:t xml:space="preserve">Continue to promote and expand the existing take-back programs to maximize the return and recycling rates of jrnwlppdxk components.</w:t>
      </w:r>
    </w:p>
    <w:p>
      <w:pPr>
        <w:numPr>
          <w:ilvl w:val="1"/>
          <w:numId w:val="1019"/>
        </w:numPr>
        <w:pStyle w:val="Compact"/>
      </w:pPr>
      <w:r>
        <w:t xml:space="preserve">Investigate opportunities for product refurbishment or remanufacturing to extend product lifespans and keep materials in use longer.</w:t>
      </w:r>
    </w:p>
    <w:p>
      <w:pPr>
        <w:numPr>
          <w:ilvl w:val="0"/>
          <w:numId w:val="1015"/>
        </w:numPr>
        <w:pStyle w:val="Compact"/>
      </w:pPr>
      <w:r>
        <w:t xml:space="preserve">**Supply Chain Engagement:**</w:t>
      </w:r>
    </w:p>
    <w:p>
      <w:pPr>
        <w:numPr>
          <w:ilvl w:val="1"/>
          <w:numId w:val="1020"/>
        </w:numPr>
        <w:pStyle w:val="Compact"/>
      </w:pPr>
      <w:r>
        <w:t xml:space="preserve">Work with upstream suppliers to improve their own carbon performance and transition to lower-emission processes and renewable energy.</w:t>
      </w:r>
    </w:p>
    <w:p>
      <w:r>
        <w:pict>
          <v:rect style="width:0;height:1.5pt" o:hralign="center" o:hrstd="t" o:hr="t"/>
        </w:pict>
      </w:r>
    </w:p>
    <w:bookmarkEnd w:id="47"/>
    <w:bookmarkEnd w:id="48"/>
    <w:bookmarkStart w:id="49" w:name="data-quality-and-limitations"/>
    <w:p>
      <w:pPr>
        <w:pStyle w:val="Heading2"/>
      </w:pPr>
      <w:r>
        <w:t xml:space="preserve">6. Data Quality and Limitations</w:t>
      </w:r>
    </w:p>
    <w:p>
      <w:pPr>
        <w:pStyle w:val="FirstParagraph"/>
      </w:pPr>
      <w:r>
        <w:t xml:space="preserve">The accuracy of this PCF analysis relies heavily on the quality and completeness of the input data.</w:t>
      </w:r>
    </w:p>
    <w:p>
      <w:pPr>
        <w:numPr>
          <w:ilvl w:val="0"/>
          <w:numId w:val="1021"/>
        </w:numPr>
        <w:pStyle w:val="Compact"/>
      </w:pPr>
      <w:r>
        <w:t xml:space="preserve">**Primary Data:** Detailed BOM (njqypgts), energy intensity (lpzhimeinx), renewable energy usage (iyjzkirtek), product lifespan (kryvyhgymm), energy consumption in use (gejlvrqtno), recyclability percentage (skygjuwviy), and details on circular/take-back programs (nlskztirio) were considered primary data for this assessment. Their direct use contributes to high accuracy.</w:t>
      </w:r>
    </w:p>
    <w:p>
      <w:pPr>
        <w:numPr>
          <w:ilvl w:val="0"/>
          <w:numId w:val="1021"/>
        </w:numPr>
        <w:pStyle w:val="Compact"/>
      </w:pPr>
      <w:r>
        <w:t xml:space="preserve">**Illustrative Data:** Specific numerical values for transport distances, modes, and certain emission factors (e.g., for electricity grids, transport, and EoL processes) were selected as representative industry averages from recognized databases to fulfill the "high-detail" requirement where placeholder parameters were provided. These are widely accepted for such analyses. While these are robust, actual specific supplier data could refine these calculations further.</w:t>
      </w:r>
    </w:p>
    <w:p>
      <w:pPr>
        <w:numPr>
          <w:ilvl w:val="0"/>
          <w:numId w:val="1021"/>
        </w:numPr>
        <w:pStyle w:val="Compact"/>
      </w:pPr>
      <w:r>
        <w:t xml:space="preserve">**System Boundary Interpretation:** The interpretation of "factory_gate" to align with a full "cradle-to-grave" analysis (given the detailed parameters for downstream stages) was made to provide a comprehensive PCF.</w:t>
      </w:r>
    </w:p>
    <w:p>
      <w:pPr>
        <w:numPr>
          <w:ilvl w:val="0"/>
          <w:numId w:val="1021"/>
        </w:numPr>
        <w:pStyle w:val="Compact"/>
      </w:pPr>
      <w:r>
        <w:t xml:space="preserve">**2026 LSR Update:** The application of the LSR Standard is qualitative in some areas due to the generic nature of the product description. A more detailed material breakdown, including bio-based materials or specific land-use change associated with material extraction, would allow for a more quantitative application.</w:t>
      </w:r>
    </w:p>
    <w:p>
      <w:r>
        <w:pict>
          <v:rect style="width:0;height:1.5pt" o:hralign="center" o:hrstd="t" o:hr="t"/>
        </w:pict>
      </w:r>
    </w:p>
    <w:p>
      <w:pPr>
        <w:pStyle w:val="FirstParagraph"/>
      </w:pPr>
      <w:r>
        <w:t xml:space="preserve">Confidential - Internal Use Only |</w:t>
      </w:r>
      <w:r>
        <w:t xml:space="preserve"> </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jrnwlppdxk</dc:title>
  <dc:creator/>
  <dc:description>High-detail Product Carbon Footprint (PCF) analysis report for product jrnwlppdxk, conducted for vvyhkovlhf by Senior Sustainability Consultant ojkefdlprt, adhering to GHG Protocol and 2026 LSR update.</dc:description>
  <cp:keywords/>
  <dcterms:created xsi:type="dcterms:W3CDTF">2026-07-15T03:40:57Z</dcterms:created>
  <dcterms:modified xsi:type="dcterms:W3CDTF">2026-07-15T03:40:57Z</dcterms:modified>
</cp:coreProperties>
</file>

<file path=docProps/custom.xml><?xml version="1.0" encoding="utf-8"?>
<Properties xmlns="http://schemas.openxmlformats.org/officeDocument/2006/custom-properties" xmlns:vt="http://schemas.openxmlformats.org/officeDocument/2006/docPropsVTypes"/>
</file>