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jrgrhwesty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jrgrhwesty**</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nvojggzzuo</w:t>
      </w:r>
    </w:p>
    <w:p>
      <w:pPr>
        <w:pStyle w:val="BodyText"/>
      </w:pPr>
      <w:r>
        <w:rPr>
          <w:bCs/>
          <w:b/>
        </w:rPr>
        <w:t xml:space="preserve">Senior Sustainability Consultant:</w:t>
      </w:r>
      <w:r>
        <w:t xml:space="preserve"> </w:t>
      </w:r>
      <w:r>
        <w:t xml:space="preserve">moidresvns</w:t>
      </w:r>
    </w:p>
    <w:p>
      <w:pPr>
        <w:pStyle w:val="BodyText"/>
      </w:pPr>
      <w:r>
        <w:rPr>
          <w:iCs/>
          <w:i/>
        </w:rPr>
        <w:t xml:space="preserve">Disclaimer: This report is generated based on available data and industry standards, utilizing illustrative values for placeholder parameters. Actual emissions may vary based on precise primary data.</w:t>
      </w:r>
    </w:p>
    <w:bookmarkEnd w:id="20"/>
    <w:bookmarkStart w:id="21" w:name="Xa167e9db1925ec0df24fa6541c00ad03592d3f0"/>
    <w:p>
      <w:pPr>
        <w:pStyle w:val="Heading1"/>
      </w:pPr>
      <w:r>
        <w:t xml:space="preserve">Product Carbon Footprint Analysis Report: jrgrhwesty</w:t>
      </w:r>
    </w:p>
    <w:p>
      <w:pPr>
        <w:pStyle w:val="FirstParagraph"/>
      </w:pPr>
      <w:r>
        <w:t xml:space="preserve">Generated Date: June 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jrgrhwesty</w:t>
      </w:r>
      <w:r>
        <w:t xml:space="preserve">, manufactured by</w:t>
      </w:r>
      <w:r>
        <w:t xml:space="preserve"> </w:t>
      </w:r>
      <w:r>
        <w:rPr>
          <w:bCs/>
          <w:b/>
        </w:rPr>
        <w:t xml:space="preserve">nvojggzzuo</w:t>
      </w:r>
      <w:r>
        <w:t xml:space="preserve">. As</w:t>
      </w:r>
      <w:r>
        <w:t xml:space="preserve"> </w:t>
      </w:r>
      <w:r>
        <w:rPr>
          <w:bCs/>
          <w:b/>
        </w:rPr>
        <w:t xml:space="preserve">moidresvns</w:t>
      </w:r>
      <w:r>
        <w:t xml:space="preserve">, a Senior Sustainability Consultant specializing in the GHG Protocol, this assessment aims to quantify the greenhouse gas (GHG) emissions associated with the product\'s lifecycle. The analysis adheres to the GHG Protocol\'s Product Standard, incorporating the 2026 Land Sector and Removals (LSR) Standard updates where relevant, and targets a comprehensive Scope 3 coverage of at least 95% in line with evolving requirements. The primary system boundary for the PCF calculation is \'factory-gate\' (cradle-to-gate), with additional insights provided for the use phase and end-of-life stages for a holistic lifecycle understanding. The total PCF for jrgrhwesty, within a cradle-to-gate boundary, is calculated to be</w:t>
      </w:r>
      <w:r>
        <w:t xml:space="preserve"> </w:t>
      </w:r>
      <w:r>
        <w:rPr>
          <w:bCs/>
          <w:b/>
        </w:rPr>
        <w:t xml:space="preserve">7.70 kg CO2e per functional unit</w:t>
      </w:r>
      <w:r>
        <w:t xml:space="preserve">. Key emission hotspots identified include material acquisition and manufacturing energy consumption.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initial phase establishes the foundational parameters for the Product Carbon Footprint (PCF) analysis of</w:t>
      </w:r>
      <w:r>
        <w:t xml:space="preserve"> </w:t>
      </w:r>
      <w:r>
        <w:rPr>
          <w:bCs/>
          <w:b/>
        </w:rPr>
        <w:t xml:space="preserve">jrgrhwesty</w:t>
      </w:r>
      <w:r>
        <w:t xml:space="preserve">.</w:t>
      </w:r>
    </w:p>
    <w:p>
      <w:pPr>
        <w:numPr>
          <w:ilvl w:val="0"/>
          <w:numId w:val="1001"/>
        </w:numPr>
        <w:pStyle w:val="Compact"/>
      </w:pPr>
      <w:r>
        <w:rPr>
          <w:bCs/>
          <w:b/>
        </w:rPr>
        <w:t xml:space="preserve">Functional Unit:</w:t>
      </w:r>
      <w:r>
        <w:t xml:space="preserve"> </w:t>
      </w:r>
      <w:r>
        <w:t xml:space="preserve">The functional unit is defined as</w:t>
      </w:r>
      <w:r>
        <w:t xml:space="preserve"> </w:t>
      </w:r>
      <w:r>
        <w:rPr>
          <w:bCs/>
          <w:b/>
        </w:rPr>
        <w:t xml:space="preserve">1.0 unit of jrgrhwesty</w:t>
      </w:r>
      <w:r>
        <w:t xml:space="preserve">. This unit serves as the reference basis for all quantified environmental impacts, ensuring comparability and consistency throughout the assessment.</w:t>
      </w:r>
    </w:p>
    <w:p>
      <w:pPr>
        <w:numPr>
          <w:ilvl w:val="0"/>
          <w:numId w:val="1001"/>
        </w:numPr>
        <w:pStyle w:val="Compact"/>
      </w:pPr>
      <w:r>
        <w:rPr>
          <w:bCs/>
          <w:b/>
        </w:rPr>
        <w:t xml:space="preserve">System Boundary:</w:t>
      </w:r>
      <w:r>
        <w:t xml:space="preserve"> </w:t>
      </w:r>
      <w:r>
        <w:t xml:space="preserve">The primary system boundary for this PCF analysis is defined as</w:t>
      </w:r>
      <w:r>
        <w:t xml:space="preserve"> </w:t>
      </w:r>
      <w:r>
        <w:rPr>
          <w:bCs/>
          <w:b/>
        </w:rPr>
        <w:t xml:space="preserve">\'factory_gate\' (cradle-to-gate)</w:t>
      </w:r>
      <w:r>
        <w:t xml:space="preserve">. This includes all greenhouse gas emissions from the extraction of raw materials, their processing, manufacturing processes (including energy consumption), and transportation up to the point the finished product leaves the manufacturing facility. For a high-detail analysis, the use phase and end-of-life scenarios are also calculated and discussed as additional lifecycle impacts, providing a broader cradle-to-grave perspective, though they fall outside the strict \'factory_gate\' boundary for the core PCF aggregation.</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This geographical context is critical for selecting appropriate regional emission factors for electricity grids, transportation, and material sourcing.</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Protocol\'s Product Life Cycle Accounting and Reporting Standard</w:t>
      </w:r>
      <w:r>
        <w:t xml:space="preserve">. This standard provides a robust framework for assessing the full range of GHG emissions and removals associated with products. Emissions are categorized into Scope 1 (direct), Scope 2 (purchased energy), and Scope 3 (value chain) to ensure comprehensive and transparent reporting.</w:t>
      </w:r>
    </w:p>
    <w:p>
      <w:pPr>
        <w:numPr>
          <w:ilvl w:val="0"/>
          <w:numId w:val="1001"/>
        </w:numPr>
        <w:pStyle w:val="Compact"/>
      </w:pPr>
      <w:r>
        <w:rPr>
          <w:bCs/>
          <w:b/>
        </w:rPr>
        <w:t xml:space="preserve">Allocation:</w:t>
      </w:r>
      <w:r>
        <w:t xml:space="preserve"> </w:t>
      </w:r>
      <w:r>
        <w:t xml:space="preserve">For this single product assessment, direct attribution is applied. In cases of co-products or by-products (not explicitly identified for jrgrhwesty based on provided data), allocation would typically follow mass-based or economic allocation principles as per GHG Protocol guidance, ensuring that emissions are fairly distributed among products.</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jrgrhwesty</w:t>
      </w:r>
      <w:r>
        <w:t xml:space="preserve"> </w:t>
      </w:r>
      <w:r>
        <w:t xml:space="preserve">is mapped into distinct stages to identify all relevant emission sources. The primary focus for the \'factory_gate\' boundary includes material acquisition, manufacturing, and upstream transportation.</w:t>
      </w:r>
    </w:p>
    <w:p>
      <w:pPr>
        <w:pStyle w:val="BodyText"/>
      </w:pPr>
      <w:r>
        <w:rPr>
          <w:bCs/>
          <w:b/>
        </w:rPr>
        <w:t xml:space="preserve">Lifecycle Stages for jrgrhwesty:</w:t>
      </w:r>
    </w:p>
    <w:p>
      <w:pPr>
        <w:numPr>
          <w:ilvl w:val="0"/>
          <w:numId w:val="1002"/>
        </w:numPr>
        <w:pStyle w:val="Compact"/>
      </w:pPr>
      <w:r>
        <w:rPr>
          <w:bCs/>
          <w:b/>
        </w:rPr>
        <w:t xml:space="preserve">Material Acquisition &amp; Pre-processing:</w:t>
      </w:r>
      <w:r>
        <w:t xml:space="preserve"> </w:t>
      </w:r>
      <w:r>
        <w:t xml:space="preserve">This stage encompasses the extraction of raw materials and their initial processing into usable forms. This includes metals, plastics, electronics components, and packaging materials.</w:t>
      </w:r>
    </w:p>
    <w:p>
      <w:pPr>
        <w:numPr>
          <w:ilvl w:val="0"/>
          <w:numId w:val="1002"/>
        </w:numPr>
        <w:pStyle w:val="Compact"/>
      </w:pPr>
      <w:r>
        <w:rPr>
          <w:bCs/>
          <w:b/>
        </w:rPr>
        <w:t xml:space="preserve">Manufacturing/Production:</w:t>
      </w:r>
      <w:r>
        <w:t xml:space="preserve"> </w:t>
      </w:r>
      <w:r>
        <w:t xml:space="preserve">This stage covers all processes within the production facility in China, including assembly, fabrication, and finishing, along with the associated energy consumption (electricity, heat).</w:t>
      </w:r>
    </w:p>
    <w:p>
      <w:pPr>
        <w:numPr>
          <w:ilvl w:val="0"/>
          <w:numId w:val="1002"/>
        </w:numPr>
        <w:pStyle w:val="Compact"/>
      </w:pPr>
      <w:r>
        <w:rPr>
          <w:bCs/>
          <w:b/>
        </w:rPr>
        <w:t xml:space="preserve">Upstream Transportation &amp; Distribution:</w:t>
      </w:r>
      <w:r>
        <w:t xml:space="preserve"> </w:t>
      </w:r>
      <w:r>
        <w:t xml:space="preserve">This includes the transportation of all raw materials and components from their origin to the manufacturing plant in China.</w:t>
      </w:r>
    </w:p>
    <w:p>
      <w:pPr>
        <w:numPr>
          <w:ilvl w:val="0"/>
          <w:numId w:val="1002"/>
        </w:numPr>
        <w:pStyle w:val="Compact"/>
      </w:pPr>
      <w:r>
        <w:rPr>
          <w:bCs/>
          <w:b/>
        </w:rPr>
        <w:t xml:space="preserve">Use Phase (for detailed lifecycle understanding beyond factory_gate):</w:t>
      </w:r>
      <w:r>
        <w:t xml:space="preserve"> </w:t>
      </w:r>
      <w:r>
        <w:t xml:space="preserve">This stage covers the energy consumption of the product during its expected lifespan by the end-user.</w:t>
      </w:r>
    </w:p>
    <w:p>
      <w:pPr>
        <w:numPr>
          <w:ilvl w:val="0"/>
          <w:numId w:val="1002"/>
        </w:numPr>
        <w:pStyle w:val="Compact"/>
      </w:pPr>
      <w:r>
        <w:rPr>
          <w:bCs/>
          <w:b/>
        </w:rPr>
        <w:t xml:space="preserve">End-of-Life (for detailed lifecycle understanding beyond factory_gate):</w:t>
      </w:r>
      <w:r>
        <w:t xml:space="preserve"> </w:t>
      </w:r>
      <w:r>
        <w:t xml:space="preserve">This stage accounts for the disposal or recycling of the product and its packaging at the end of its useful life.</w:t>
      </w:r>
    </w:p>
    <w:p>
      <w:r>
        <w:pict>
          <v:rect style="width:0;height:1.5pt" o:hralign="center" o:hrstd="t" o:hr="t"/>
        </w:pict>
      </w:r>
    </w:p>
    <w:bookmarkEnd w:id="24"/>
    <w:bookmarkStart w:id="30" w:name="collect-data"/>
    <w:p>
      <w:pPr>
        <w:pStyle w:val="Heading2"/>
      </w:pPr>
      <w:r>
        <w:t xml:space="preserve">3. Collect Data</w:t>
      </w:r>
    </w:p>
    <w:p>
      <w:pPr>
        <w:pStyle w:val="FirstParagraph"/>
      </w:pPr>
      <w:r>
        <w:t xml:space="preserve">Data collection involved utilizing the provided parameters, supplemented with industry-standard emission factors from reputable databases such as Ecoinvent and DEFRA for illustrative calculations. It is important to note that specific parameter values (e.g., nyjtqzvo, Select Mode) were placeholders in the prompt; therefore, illustrative representative data has been used for the calculations, clearly stated in each section.</w:t>
      </w:r>
    </w:p>
    <w:bookmarkStart w:id="25" w:name="X7018b9d6fbefb03f77277e13b3041f5eca487c7"/>
    <w:p>
      <w:pPr>
        <w:pStyle w:val="Heading3"/>
      </w:pPr>
      <w:r>
        <w:t xml:space="preserve">Detailed Bill of Materials (BOM) for jrgrhwesty (Illustrative based on \'nyjtqzvo\')</w:t>
      </w:r>
    </w:p>
    <w:p>
      <w:pPr>
        <w:pStyle w:val="FirstParagraph"/>
      </w:pPr>
      <w:r>
        <w:t xml:space="preserve">The Bill of Materials (BOM) provides a high-accuracy basis for material impact calculation. The following table represents an illustrative BOM, following the specified format, used for this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Polypropylene (PP)</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2.2</w:t>
            </w:r>
          </w:p>
        </w:tc>
        <w:tc>
          <w:tcPr/>
          <w:p>
            <w:pPr>
              <w:pStyle w:val="Compact"/>
              <w:jc w:val="left"/>
            </w:pPr>
            <w:r>
              <w:t xml:space="preserve">0.44</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P001</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bl>
    <w:p>
      <w:pPr>
        <w:pStyle w:val="BodyText"/>
      </w:pPr>
      <w:r>
        <w:rPr>
          <w:iCs/>
          <w:i/>
        </w:rPr>
        <w:t xml:space="preserve">Note: The "Emission Factor (kgCO2e/unit)" and "Total Carbon (kgCO2e)" values in this table are illustrative, derived from typical industry averages as found in databases like Ecoinvent and DEFRA, reflecting the described material categories and processes.</w:t>
      </w:r>
    </w:p>
    <w:bookmarkEnd w:id="25"/>
    <w:bookmarkStart w:id="26" w:name="Xc72d8a91bd67789d231cca3ff47d1d9b74c697a"/>
    <w:p>
      <w:pPr>
        <w:pStyle w:val="Heading3"/>
      </w:pPr>
      <w:r>
        <w:t xml:space="preserve">Logistics Data (Illustrative based on \'Select Mode\', \'rtvwhtjiip\', \'Delivery Type\')</w:t>
      </w:r>
    </w:p>
    <w:p>
      <w:pPr>
        <w:numPr>
          <w:ilvl w:val="0"/>
          <w:numId w:val="1003"/>
        </w:numPr>
        <w:pStyle w:val="Compact"/>
      </w:pPr>
      <w:r>
        <w:rPr>
          <w:bCs/>
          <w:b/>
        </w:rPr>
        <w:t xml:space="preserve">Product Total Mass:</w:t>
      </w:r>
      <w:r>
        <w:t xml:space="preserve"> </w:t>
      </w:r>
      <w:r>
        <w:t xml:space="preserve">Sum of BOM quantities = 1.15 kg (0.00115 tonnes).</w:t>
      </w:r>
    </w:p>
    <w:p>
      <w:pPr>
        <w:numPr>
          <w:ilvl w:val="0"/>
          <w:numId w:val="1003"/>
        </w:numPr>
        <w:pStyle w:val="Compact"/>
      </w:pPr>
      <w:r>
        <w:rPr>
          <w:bCs/>
          <w:b/>
        </w:rPr>
        <w:t xml:space="preserve">Main Transport Mode (Upstream):</w:t>
      </w:r>
      <w:r>
        <w:t xml:space="preserve"> </w:t>
      </w:r>
      <w:r>
        <w:t xml:space="preserve">Ocean Freight (Container Ship).</w:t>
      </w:r>
    </w:p>
    <w:p>
      <w:pPr>
        <w:numPr>
          <w:ilvl w:val="0"/>
          <w:numId w:val="1003"/>
        </w:numPr>
        <w:pStyle w:val="Compact"/>
      </w:pPr>
      <w:r>
        <w:rPr>
          <w:bCs/>
          <w:b/>
        </w:rPr>
        <w:t xml:space="preserve">Main Transport Distance (Upstream):</w:t>
      </w:r>
      <w:r>
        <w:t xml:space="preserve"> </w:t>
      </w:r>
      <w:r>
        <w:t xml:space="preserve">15,000 km.</w:t>
      </w:r>
    </w:p>
    <w:p>
      <w:pPr>
        <w:numPr>
          <w:ilvl w:val="0"/>
          <w:numId w:val="1003"/>
        </w:numPr>
        <w:pStyle w:val="Compact"/>
      </w:pPr>
      <w:r>
        <w:rPr>
          <w:bCs/>
          <w:b/>
        </w:rPr>
        <w:t xml:space="preserve">Last-Mile Delivery Channel (Upstream to factory):</w:t>
      </w:r>
      <w:r>
        <w:t xml:space="preserve"> </w:t>
      </w:r>
      <w:r>
        <w:t xml:space="preserve">Road Freight (Heavy Goods Vehicle).</w:t>
      </w:r>
    </w:p>
    <w:p>
      <w:pPr>
        <w:numPr>
          <w:ilvl w:val="0"/>
          <w:numId w:val="1003"/>
        </w:numPr>
        <w:pStyle w:val="Compact"/>
      </w:pPr>
      <w:r>
        <w:rPr>
          <w:bCs/>
          <w:b/>
        </w:rPr>
        <w:t xml:space="preserve">Last-Mile Delivery Distance (Upstream to factory):</w:t>
      </w:r>
      <w:r>
        <w:t xml:space="preserve"> </w:t>
      </w:r>
      <w:r>
        <w:t xml:space="preserve">500 km (illustrative).</w:t>
      </w:r>
    </w:p>
    <w:p>
      <w:pPr>
        <w:numPr>
          <w:ilvl w:val="0"/>
          <w:numId w:val="1003"/>
        </w:numPr>
        <w:pStyle w:val="Compact"/>
      </w:pPr>
      <w:r>
        <w:rPr>
          <w:bCs/>
          <w:b/>
        </w:rPr>
        <w:t xml:space="preserve">Emission Factor - Ocean Freight:</w:t>
      </w:r>
      <w:r>
        <w:t xml:space="preserve"> </w:t>
      </w:r>
      <w:r>
        <w:t xml:space="preserve">0.016 kgCO2e/tonne-km.</w:t>
      </w:r>
    </w:p>
    <w:p>
      <w:pPr>
        <w:numPr>
          <w:ilvl w:val="0"/>
          <w:numId w:val="1003"/>
        </w:numPr>
        <w:pStyle w:val="Compact"/>
      </w:pPr>
      <w:r>
        <w:rPr>
          <w:bCs/>
          <w:b/>
        </w:rPr>
        <w:t xml:space="preserve">Emission Factor - Road Freight (HGV):</w:t>
      </w:r>
      <w:r>
        <w:t xml:space="preserve"> </w:t>
      </w:r>
      <w:r>
        <w:t xml:space="preserve">0.1 kgCO2e/tonne-km.</w:t>
      </w:r>
    </w:p>
    <w:bookmarkEnd w:id="26"/>
    <w:bookmarkStart w:id="27" w:name="X28c4d05f7130e6c71ccaa4a0af99a75dfb90547"/>
    <w:p>
      <w:pPr>
        <w:pStyle w:val="Heading3"/>
      </w:pPr>
      <w:r>
        <w:t xml:space="preserve">Production Energy Data (Illustrative based on \'dhzzouqpss\', \'sqydomjiyk\')</w:t>
      </w:r>
    </w:p>
    <w:p>
      <w:pPr>
        <w:numPr>
          <w:ilvl w:val="0"/>
          <w:numId w:val="1004"/>
        </w:numPr>
        <w:pStyle w:val="Compact"/>
      </w:pPr>
      <w:r>
        <w:rPr>
          <w:bCs/>
          <w:b/>
        </w:rPr>
        <w:t xml:space="preserve">Renewable Energy Usage:</w:t>
      </w:r>
      <w:r>
        <w:t xml:space="preserve"> </w:t>
      </w:r>
      <w:r>
        <w:t xml:space="preserve">60% of total electricity consumed.</w:t>
      </w:r>
    </w:p>
    <w:p>
      <w:pPr>
        <w:numPr>
          <w:ilvl w:val="0"/>
          <w:numId w:val="1004"/>
        </w:numPr>
        <w:pStyle w:val="Compact"/>
      </w:pPr>
      <w:r>
        <w:rPr>
          <w:bCs/>
          <w:b/>
        </w:rPr>
        <w:t xml:space="preserve">Energy Intensity (kWh/unit):</w:t>
      </w:r>
      <w:r>
        <w:t xml:space="preserve"> </w:t>
      </w:r>
      <w:r>
        <w:t xml:space="preserve">1.5 kWh per unit of jrgrhwesty.</w:t>
      </w:r>
    </w:p>
    <w:p>
      <w:pPr>
        <w:numPr>
          <w:ilvl w:val="0"/>
          <w:numId w:val="1004"/>
        </w:numPr>
        <w:pStyle w:val="Compact"/>
      </w:pPr>
      <w:r>
        <w:rPr>
          <w:bCs/>
          <w:b/>
        </w:rPr>
        <w:t xml:space="preserve">China Grid Emission Factor (Illustrative):</w:t>
      </w:r>
      <w:r>
        <w:t xml:space="preserve"> </w:t>
      </w:r>
      <w:r>
        <w:t xml:space="preserve">0.6205 kgCO2e/kWh (based on 2023 national average).</w:t>
      </w:r>
    </w:p>
    <w:bookmarkEnd w:id="27"/>
    <w:bookmarkStart w:id="28" w:name="Xab5ffec2700c508993bb090cae6847f558698db"/>
    <w:p>
      <w:pPr>
        <w:pStyle w:val="Heading3"/>
      </w:pPr>
      <w:r>
        <w:t xml:space="preserve">Use Phase Data (Illustrative based on \'dkrtxshpoi\', \'xtohxrupzk\')</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 kWh per year.</w:t>
      </w:r>
    </w:p>
    <w:p>
      <w:pPr>
        <w:numPr>
          <w:ilvl w:val="0"/>
          <w:numId w:val="1005"/>
        </w:numPr>
        <w:pStyle w:val="Compact"/>
      </w:pPr>
      <w:r>
        <w:rPr>
          <w:bCs/>
          <w:b/>
        </w:rPr>
        <w:t xml:space="preserve">Electricity Emission Factor:</w:t>
      </w:r>
      <w:r>
        <w:t xml:space="preserve"> </w:t>
      </w:r>
      <w:r>
        <w:t xml:space="preserve">0.6205 kgCO2e/kWh (China Grid Emission Factor).</w:t>
      </w:r>
    </w:p>
    <w:bookmarkEnd w:id="28"/>
    <w:bookmarkStart w:id="29" w:name="X5f7d0e66813cccadde6b47b8589f2f6fc51126a"/>
    <w:p>
      <w:pPr>
        <w:pStyle w:val="Heading3"/>
      </w:pPr>
      <w:r>
        <w:t xml:space="preserve">End-of-Life (EoL) Data (Illustrative based on \'xthdyhhlsl\', \'mtfdogoony\')</w:t>
      </w:r>
    </w:p>
    <w:p>
      <w:pPr>
        <w:numPr>
          <w:ilvl w:val="0"/>
          <w:numId w:val="1006"/>
        </w:numPr>
        <w:pStyle w:val="Compact"/>
      </w:pPr>
      <w:r>
        <w:rPr>
          <w:bCs/>
          <w:b/>
        </w:rPr>
        <w:t xml:space="preserve">Recyclability Percentage:</w:t>
      </w:r>
      <w:r>
        <w:t xml:space="preserve"> </w:t>
      </w:r>
      <w:r>
        <w:t xml:space="preserve">75%.</w:t>
      </w:r>
    </w:p>
    <w:p>
      <w:pPr>
        <w:numPr>
          <w:ilvl w:val="0"/>
          <w:numId w:val="1006"/>
        </w:numPr>
        <w:pStyle w:val="Compact"/>
      </w:pPr>
      <w:r>
        <w:rPr>
          <w:bCs/>
          <w:b/>
        </w:rPr>
        <w:t xml:space="preserve">Circular/Take-back Programs:</w:t>
      </w:r>
      <w:r>
        <w:t xml:space="preserve"> </w:t>
      </w:r>
      <w:r>
        <w:t xml:space="preserve">Yes, regional take-back scheme implemented.</w:t>
      </w:r>
    </w:p>
    <w:p>
      <w:pPr>
        <w:numPr>
          <w:ilvl w:val="0"/>
          <w:numId w:val="1006"/>
        </w:numPr>
        <w:pStyle w:val="Compact"/>
      </w:pPr>
      <w:r>
        <w:rPr>
          <w:bCs/>
          <w:b/>
        </w:rPr>
        <w:t xml:space="preserve">Landfill Emission Factor (Illustrative):</w:t>
      </w:r>
      <w:r>
        <w:t xml:space="preserve"> </w:t>
      </w:r>
      <w:r>
        <w:t xml:space="preserve">0.07 kgCO2e/kg (for non-recycled waste to landfill).</w:t>
      </w:r>
    </w:p>
    <w:p>
      <w:r>
        <w:pict>
          <v:rect style="width:0;height:1.5pt" o:hralign="center" o:hrstd="t" o:hr="t"/>
        </w:pict>
      </w:r>
    </w:p>
    <w:bookmarkEnd w:id="29"/>
    <w:bookmarkEnd w:id="30"/>
    <w:bookmarkStart w:id="41" w:name="calculate-emissions"/>
    <w:p>
      <w:pPr>
        <w:pStyle w:val="Heading2"/>
      </w:pPr>
      <w:r>
        <w:t xml:space="preserve">4. Calculate Emissions</w:t>
      </w:r>
    </w:p>
    <w:p>
      <w:pPr>
        <w:pStyle w:val="FirstParagraph"/>
      </w:pPr>
      <w:r>
        <w:t xml:space="preserve">The emissions are calculated based on the activity data and the respective emission factors, categorized according to the GHG Protocol scopes. The 2026 Land Sector and Removals (LSR) Standard updates are considered for potential land-use impacts, and a 95% Scope 3 coverage is targeted.</w:t>
      </w:r>
    </w:p>
    <w:bookmarkStart w:id="31" w:name="ghg-protocol-scopes-overview"/>
    <w:p>
      <w:pPr>
        <w:pStyle w:val="Heading3"/>
      </w:pPr>
      <w:r>
        <w:t xml:space="preserve">GHG Protocol Scopes Overview:</w:t>
      </w:r>
    </w:p>
    <w:p>
      <w:pPr>
        <w:numPr>
          <w:ilvl w:val="0"/>
          <w:numId w:val="1007"/>
        </w:numPr>
        <w:pStyle w:val="Compact"/>
      </w:pPr>
      <w:r>
        <w:rPr>
          <w:bCs/>
          <w:b/>
        </w:rPr>
        <w:t xml:space="preserve">Scope 1: Direct GHG Emissions</w:t>
      </w:r>
      <w:r>
        <w:t xml:space="preserve"> </w:t>
      </w:r>
      <w:r>
        <w:t xml:space="preserve">from sources owned or controlled by nvojggzzuo. For a product PCF with a \'factory_gate\' boundary where production might be outsourced and specific on-site fuel combustion data is not provided, direct operational emissions from the reporting company\'s direct control are assumed to be minimal or zero within this product\'s lifecycle boundary, or are covered under Scope 2/3 for purchased energy and materials.</w:t>
      </w:r>
    </w:p>
    <w:p>
      <w:pPr>
        <w:numPr>
          <w:ilvl w:val="0"/>
          <w:numId w:val="1007"/>
        </w:numPr>
        <w:pStyle w:val="Compact"/>
      </w:pPr>
      <w:r>
        <w:rPr>
          <w:bCs/>
          <w:b/>
        </w:rPr>
        <w:t xml:space="preserve">Scope 2: Indirect GHG Emissions from Purchased Energy</w:t>
      </w:r>
      <w:r>
        <w:t xml:space="preserve"> </w:t>
      </w:r>
      <w:r>
        <w:t xml:space="preserve">(e.g., electricity, steam, heating, cooling).</w:t>
      </w:r>
    </w:p>
    <w:p>
      <w:pPr>
        <w:numPr>
          <w:ilvl w:val="0"/>
          <w:numId w:val="1007"/>
        </w:numPr>
        <w:pStyle w:val="Compact"/>
      </w:pPr>
      <w:r>
        <w:rPr>
          <w:bCs/>
          <w:b/>
        </w:rPr>
        <w:t xml:space="preserve">Scope 3: Other Indirect GHG Emissions</w:t>
      </w:r>
      <w:r>
        <w:t xml:space="preserve"> </w:t>
      </w:r>
      <w:r>
        <w:t xml:space="preserve">occurring in the value chain, both upstream and downstream. This includes purchased goods and services, transportation, waste, use of sold products, and end-of-life treatment of sold products.</w:t>
      </w:r>
    </w:p>
    <w:bookmarkEnd w:id="31"/>
    <w:bookmarkStart w:id="36" w:name="Xf5da7dd3a471ac0e97a22446304a3cb77bc231f"/>
    <w:p>
      <w:pPr>
        <w:pStyle w:val="Heading3"/>
      </w:pPr>
      <w:r>
        <w:t xml:space="preserve">Detailed Emission Calculations (per functional unit of jrgrhwesty):</w:t>
      </w:r>
    </w:p>
    <w:bookmarkStart w:id="32" w:name="scope-1-emissions"/>
    <w:p>
      <w:pPr>
        <w:pStyle w:val="Heading4"/>
      </w:pPr>
      <w:r>
        <w:t xml:space="preserve">Scope 1 Emissions</w:t>
      </w:r>
    </w:p>
    <w:p>
      <w:pPr>
        <w:pStyle w:val="FirstParagraph"/>
      </w:pPr>
      <w:r>
        <w:t xml:space="preserve">Based on the \'factory_gate\' system boundary and the nature of the provided data, direct combustion emissions from owned or controlled sources are assumed to be negligible or accounted for within Scope 2 and 3 for the product-level analysis. Therefore, Scope 1 emissions for this PCF are reported as</w:t>
      </w:r>
      <w:r>
        <w:t xml:space="preserve"> </w:t>
      </w:r>
      <w:r>
        <w:rPr>
          <w:bCs/>
          <w:b/>
        </w:rPr>
        <w:t xml:space="preserve">0.00 kgCO2e</w:t>
      </w:r>
      <w:r>
        <w:t xml:space="preserve">.</w:t>
      </w:r>
    </w:p>
    <w:bookmarkEnd w:id="32"/>
    <w:bookmarkStart w:id="33" w:name="X74867a7b2c16b8de440578aa3f6074c77be2239"/>
    <w:p>
      <w:pPr>
        <w:pStyle w:val="Heading4"/>
      </w:pPr>
      <w:r>
        <w:t xml:space="preserve">Scope 2 Emissions (Purchased Electricity for Manufacturing)</w:t>
      </w:r>
    </w:p>
    <w:p>
      <w:pPr>
        <w:pStyle w:val="FirstParagraph"/>
      </w:pPr>
      <w:r>
        <w:t xml:space="preserve">Emissions from electricity consumed during the manufacturing process:</w:t>
      </w:r>
    </w:p>
    <w:p>
      <w:pPr>
        <w:numPr>
          <w:ilvl w:val="0"/>
          <w:numId w:val="1008"/>
        </w:numPr>
        <w:pStyle w:val="Compact"/>
      </w:pPr>
      <w:r>
        <w:t xml:space="preserve">Total Energy Intensity: 1.5 kWh/unit</w:t>
      </w:r>
    </w:p>
    <w:p>
      <w:pPr>
        <w:numPr>
          <w:ilvl w:val="0"/>
          <w:numId w:val="1008"/>
        </w:numPr>
        <w:pStyle w:val="Compact"/>
      </w:pPr>
      <w:r>
        <w:t xml:space="preserve">Renewable Energy Usage: 60%</w:t>
      </w:r>
    </w:p>
    <w:p>
      <w:pPr>
        <w:numPr>
          <w:ilvl w:val="0"/>
          <w:numId w:val="1008"/>
        </w:numPr>
        <w:pStyle w:val="Compact"/>
      </w:pPr>
      <w:r>
        <w:t xml:space="preserve">Non-renewable energy consumption = 1.5 kWh/unit * (1 - 0.60) = 0.6 kWh/unit</w:t>
      </w:r>
    </w:p>
    <w:p>
      <w:pPr>
        <w:numPr>
          <w:ilvl w:val="0"/>
          <w:numId w:val="1008"/>
        </w:numPr>
        <w:pStyle w:val="Compact"/>
      </w:pPr>
      <w:r>
        <w:t xml:space="preserve">China Grid Emission Factor: 0.6205 kgCO2e/kWh</w:t>
      </w:r>
    </w:p>
    <w:p>
      <w:pPr>
        <w:numPr>
          <w:ilvl w:val="0"/>
          <w:numId w:val="1008"/>
        </w:numPr>
        <w:pStyle w:val="Compact"/>
      </w:pPr>
      <w:r>
        <w:rPr>
          <w:bCs/>
          <w:b/>
        </w:rPr>
        <w:t xml:space="preserve">Scope 2 Emissions = 0.6 kWh/unit * 0.6205 kgCO2e/kWh = 0.37 kgCO2e</w:t>
      </w:r>
    </w:p>
    <w:bookmarkEnd w:id="33"/>
    <w:bookmarkStart w:id="34" w:name="scope-3-emissions-value-chain-emissions"/>
    <w:p>
      <w:pPr>
        <w:pStyle w:val="Heading4"/>
      </w:pPr>
      <w:r>
        <w:t xml:space="preserve">Scope 3 Emissions (Value Chain Emissions)</w:t>
      </w:r>
    </w:p>
    <w:p>
      <w:pPr>
        <w:pStyle w:val="FirstParagraph"/>
      </w:pPr>
      <w:r>
        <w:t xml:space="preserve">Scope 3 emissions are typically the largest portion of a product\'s carbon footprint and are critical for achieving comprehensive reporting.</w:t>
      </w:r>
    </w:p>
    <w:p>
      <w:pPr>
        <w:pStyle w:val="BodyText"/>
      </w:pPr>
      <w:r>
        <w:rPr>
          <w:bCs/>
          <w:b/>
        </w:rPr>
        <w:t xml:space="preserve">Category 1: Purchased Goods and Services (Materials)</w:t>
      </w:r>
    </w:p>
    <w:p>
      <w:pPr>
        <w:pStyle w:val="BodyText"/>
      </w:pPr>
      <w:r>
        <w:t xml:space="preserve">Emissions from the production of raw materials and components (based on illustrative BOM):</w:t>
      </w:r>
    </w:p>
    <w:p>
      <w:pPr>
        <w:numPr>
          <w:ilvl w:val="0"/>
          <w:numId w:val="1009"/>
        </w:numPr>
        <w:pStyle w:val="Compact"/>
      </w:pPr>
      <w:r>
        <w:t xml:space="preserve">Aluminium Alloy: 0.5 kg * 10.0 kgCO2e/kg = 5.00 kgCO2e</w:t>
      </w:r>
    </w:p>
    <w:p>
      <w:pPr>
        <w:numPr>
          <w:ilvl w:val="0"/>
          <w:numId w:val="1009"/>
        </w:numPr>
        <w:pStyle w:val="Compact"/>
      </w:pPr>
      <w:r>
        <w:t xml:space="preserve">Polypropylene (PP): 0.2 kg * 2.2 kgCO2e/kg = 0.44 kgCO2e</w:t>
      </w:r>
    </w:p>
    <w:p>
      <w:pPr>
        <w:numPr>
          <w:ilvl w:val="0"/>
          <w:numId w:val="1009"/>
        </w:numPr>
        <w:pStyle w:val="Compact"/>
      </w:pPr>
      <w:r>
        <w:t xml:space="preserve">Copper Wiring: 0.1 kg * 3.5 kgCO2e/kg = 0.35 kgCO2e</w:t>
      </w:r>
    </w:p>
    <w:p>
      <w:pPr>
        <w:numPr>
          <w:ilvl w:val="0"/>
          <w:numId w:val="1009"/>
        </w:numPr>
        <w:pStyle w:val="Compact"/>
      </w:pPr>
      <w:r>
        <w:t xml:space="preserve">Silicon Chip: 0.05 kg * 15.0 kgCO2e/kg = 0.75 kgCO2e</w:t>
      </w:r>
    </w:p>
    <w:p>
      <w:pPr>
        <w:numPr>
          <w:ilvl w:val="0"/>
          <w:numId w:val="1009"/>
        </w:numPr>
        <w:pStyle w:val="Compact"/>
      </w:pPr>
      <w:r>
        <w:t xml:space="preserve">Packaging Cardboard: 0.3 kg * 1.5 kgCO2e/kg = 0.45 kgCO2e</w:t>
      </w:r>
    </w:p>
    <w:p>
      <w:pPr>
        <w:numPr>
          <w:ilvl w:val="0"/>
          <w:numId w:val="1009"/>
        </w:numPr>
        <w:pStyle w:val="Compact"/>
      </w:pPr>
      <w:r>
        <w:rPr>
          <w:bCs/>
          <w:b/>
        </w:rPr>
        <w:t xml:space="preserve">Total Material Emissions = 6.99 kgCO2e</w:t>
      </w:r>
    </w:p>
    <w:p>
      <w:pPr>
        <w:pStyle w:val="FirstParagraph"/>
      </w:pPr>
      <w:r>
        <w:rPr>
          <w:bCs/>
          <w:b/>
        </w:rPr>
        <w:t xml:space="preserve">Category 4: Upstream Transportation &amp; Distribution (to factory gate)</w:t>
      </w:r>
    </w:p>
    <w:p>
      <w:pPr>
        <w:pStyle w:val="BodyText"/>
      </w:pPr>
      <w:r>
        <w:t xml:space="preserve">Emissions from transporting materials and components to the manufacturing facility:</w:t>
      </w:r>
    </w:p>
    <w:p>
      <w:pPr>
        <w:numPr>
          <w:ilvl w:val="0"/>
          <w:numId w:val="1010"/>
        </w:numPr>
        <w:pStyle w:val="Compact"/>
      </w:pPr>
      <w:r>
        <w:t xml:space="preserve">Product Total Mass for transport: 0.00115 tonnes</w:t>
      </w:r>
    </w:p>
    <w:p>
      <w:pPr>
        <w:numPr>
          <w:ilvl w:val="0"/>
          <w:numId w:val="1010"/>
        </w:numPr>
        <w:pStyle w:val="Compact"/>
      </w:pPr>
      <w:r>
        <w:t xml:space="preserve">Ocean Freight (15,000 km): 0.00115 tonnes * 15,000 km * 0.016 kgCO2e/tkm = 0.276 kgCO2e</w:t>
      </w:r>
    </w:p>
    <w:p>
      <w:pPr>
        <w:numPr>
          <w:ilvl w:val="0"/>
          <w:numId w:val="1010"/>
        </w:numPr>
        <w:pStyle w:val="Compact"/>
      </w:pPr>
      <w:r>
        <w:t xml:space="preserve">Road Freight (Last-Mile, 500 km): 0.00115 tonnes * 500 km * 0.1 kgCO2e/tkm = 0.058 kgCO2e</w:t>
      </w:r>
    </w:p>
    <w:p>
      <w:pPr>
        <w:numPr>
          <w:ilvl w:val="0"/>
          <w:numId w:val="1010"/>
        </w:numPr>
        <w:pStyle w:val="Compact"/>
      </w:pPr>
      <w:r>
        <w:rPr>
          <w:bCs/>
          <w:b/>
        </w:rPr>
        <w:t xml:space="preserve">Total Upstream Transportation Emissions = 0.33 kgCO2e</w:t>
      </w:r>
    </w:p>
    <w:bookmarkEnd w:id="34"/>
    <w:bookmarkStart w:id="35" w:name="X6ccc875729ebd0ec9bcfe6ba2866095265fccdf"/>
    <w:p>
      <w:pPr>
        <w:pStyle w:val="Heading4"/>
      </w:pPr>
      <w:r>
        <w:t xml:space="preserve">Total Product Carbon Footprint (PCF) - Factory-Gate Boundary</w:t>
      </w:r>
    </w:p>
    <w:p>
      <w:pPr>
        <w:pStyle w:val="FirstParagraph"/>
      </w:pPr>
      <w:r>
        <w:t xml:space="preserve">Sum of Scope 1, Scope 2, and relevant Scope 3 (Materials and Upstream Transport):</w:t>
      </w:r>
    </w:p>
    <w:p>
      <w:pPr>
        <w:numPr>
          <w:ilvl w:val="0"/>
          <w:numId w:val="1011"/>
        </w:numPr>
        <w:pStyle w:val="Compact"/>
      </w:pPr>
      <w:r>
        <w:t xml:space="preserve">Scope 1: 0.00 kgCO2e</w:t>
      </w:r>
    </w:p>
    <w:p>
      <w:pPr>
        <w:numPr>
          <w:ilvl w:val="0"/>
          <w:numId w:val="1011"/>
        </w:numPr>
        <w:pStyle w:val="Compact"/>
      </w:pPr>
      <w:r>
        <w:t xml:space="preserve">Scope 2: 0.37 kgCO2e</w:t>
      </w:r>
    </w:p>
    <w:p>
      <w:pPr>
        <w:numPr>
          <w:ilvl w:val="0"/>
          <w:numId w:val="1011"/>
        </w:numPr>
        <w:pStyle w:val="Compact"/>
      </w:pPr>
      <w:r>
        <w:t xml:space="preserve">Scope 3 (Materials): 6.99 kgCO2e</w:t>
      </w:r>
    </w:p>
    <w:p>
      <w:pPr>
        <w:numPr>
          <w:ilvl w:val="0"/>
          <w:numId w:val="1011"/>
        </w:numPr>
        <w:pStyle w:val="Compact"/>
      </w:pPr>
      <w:r>
        <w:t xml:space="preserve">Scope 3 (Upstream Transport): 0.33 kgCO2e</w:t>
      </w:r>
    </w:p>
    <w:p>
      <w:pPr>
        <w:numPr>
          <w:ilvl w:val="0"/>
          <w:numId w:val="1011"/>
        </w:numPr>
        <w:pStyle w:val="Compact"/>
      </w:pPr>
      <w:r>
        <w:rPr>
          <w:bCs/>
          <w:b/>
        </w:rPr>
        <w:t xml:space="preserve">Total PCF (Factory-Gate) = 0.00 + 0.37 + 6.99 + 0.33 = 7.70 kgCO2e per functional unit</w:t>
      </w:r>
    </w:p>
    <w:bookmarkEnd w:id="35"/>
    <w:bookmarkEnd w:id="36"/>
    <w:bookmarkStart w:id="37" w:name="Xfb6de1df20b15aae3a9bdef1ffe9e00df96f6be"/>
    <w:p>
      <w:pPr>
        <w:pStyle w:val="Heading3"/>
      </w:pPr>
      <w:r>
        <w:t xml:space="preserve">Additional Lifecycle Impacts (Beyond Factory-Gate for Detailed Analysis)</w:t>
      </w:r>
    </w:p>
    <w:p>
      <w:pPr>
        <w:pStyle w:val="FirstParagraph"/>
      </w:pPr>
      <w:r>
        <w:t xml:space="preserve">For a comprehensive understanding, emissions from the use phase and end-of-life are also calculated. These fall under Scope 3 categories but are outside the strict \'factory_gate\' boundary for the core PCF reporting.</w:t>
      </w:r>
    </w:p>
    <w:p>
      <w:pPr>
        <w:pStyle w:val="BodyText"/>
      </w:pPr>
      <w:r>
        <w:rPr>
          <w:bCs/>
          <w:b/>
        </w:rPr>
        <w:t xml:space="preserve">Category 11: Use of Sold Products (Use Phase)</w:t>
      </w:r>
    </w:p>
    <w:p>
      <w:pPr>
        <w:pStyle w:val="BodyText"/>
      </w:pPr>
      <w:r>
        <w:t xml:space="preserve">Emissions from the energy consumed by the product during its lifespan: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Use Phase Energy: 5 years * 10 kWh/year = 50 kWh</w:t>
      </w:r>
    </w:p>
    <w:p>
      <w:pPr>
        <w:numPr>
          <w:ilvl w:val="0"/>
          <w:numId w:val="1012"/>
        </w:numPr>
        <w:pStyle w:val="Compact"/>
      </w:pPr>
      <w:r>
        <w:t xml:space="preserve">Electricity Emission Factor (China): 0.6205 kgCO2e/kWh</w:t>
      </w:r>
    </w:p>
    <w:p>
      <w:pPr>
        <w:numPr>
          <w:ilvl w:val="0"/>
          <w:numId w:val="1012"/>
        </w:numPr>
        <w:pStyle w:val="Compact"/>
      </w:pPr>
      <w:r>
        <w:rPr>
          <w:bCs/>
          <w:b/>
        </w:rPr>
        <w:t xml:space="preserve">Total Use Phase Emissions = 50 kWh * 0.6205 kgCO2e/kWh = 31.03 kgCO2e</w:t>
      </w:r>
    </w:p>
    <w:p>
      <w:pPr>
        <w:pStyle w:val="FirstParagraph"/>
      </w:pPr>
      <w:r>
        <w:rPr>
          <w:bCs/>
          <w:b/>
        </w:rPr>
        <w:t xml:space="preserve">Category 12: End-of-Life Treatment of Sold Products (EoL)</w:t>
      </w:r>
    </w:p>
    <w:p>
      <w:pPr>
        <w:pStyle w:val="BodyText"/>
      </w:pPr>
      <w:r>
        <w:t xml:space="preserve">Emissions from the disposal of the product at the end of its life, considering recyclability:</w:t>
      </w:r>
    </w:p>
    <w:p>
      <w:pPr>
        <w:numPr>
          <w:ilvl w:val="0"/>
          <w:numId w:val="1013"/>
        </w:numPr>
        <w:pStyle w:val="Compact"/>
      </w:pPr>
      <w:r>
        <w:t xml:space="preserve">Product Total Mass: 1.15 kg</w:t>
      </w:r>
    </w:p>
    <w:p>
      <w:pPr>
        <w:numPr>
          <w:ilvl w:val="0"/>
          <w:numId w:val="1013"/>
        </w:numPr>
        <w:pStyle w:val="Compact"/>
      </w:pPr>
      <w:r>
        <w:t xml:space="preserve">Recyclability Percentage: 75%</w:t>
      </w:r>
    </w:p>
    <w:p>
      <w:pPr>
        <w:numPr>
          <w:ilvl w:val="0"/>
          <w:numId w:val="1013"/>
        </w:numPr>
        <w:pStyle w:val="Compact"/>
      </w:pPr>
      <w:r>
        <w:t xml:space="preserve">Mass to Landfill (un-recycled portion): 1.15 kg * (1 - 0.75) = 0.2875 kg</w:t>
      </w:r>
    </w:p>
    <w:p>
      <w:pPr>
        <w:numPr>
          <w:ilvl w:val="0"/>
          <w:numId w:val="1013"/>
        </w:numPr>
        <w:pStyle w:val="Compact"/>
      </w:pPr>
      <w:r>
        <w:t xml:space="preserve">Landfill Emission Factor: 0.07 kgCO2e/kg</w:t>
      </w:r>
    </w:p>
    <w:p>
      <w:pPr>
        <w:numPr>
          <w:ilvl w:val="0"/>
          <w:numId w:val="1013"/>
        </w:numPr>
        <w:pStyle w:val="Compact"/>
      </w:pPr>
      <w:r>
        <w:rPr>
          <w:bCs/>
          <w:b/>
        </w:rPr>
        <w:t xml:space="preserve">Total End-of-Life Emissions = 0.2875 kg * 0.07 kgCO2e/kg = 0.02 kgCO2e</w:t>
      </w:r>
    </w:p>
    <w:p>
      <w:pPr>
        <w:pStyle w:val="FirstParagraph"/>
      </w:pPr>
      <w:r>
        <w:rPr>
          <w:iCs/>
          <w:i/>
        </w:rPr>
        <w:t xml:space="preserve">Note on Circular/Take-back Programs: The existence of regional take-back schemes (mtfdogoony) further supports the reduction of landfill waste and promotes circularity, though explicit avoided emissions from these programs are not quantitatively modeled here due to lack of specific data.</w:t>
      </w:r>
    </w:p>
    <w:bookmarkEnd w:id="37"/>
    <w:bookmarkStart w:id="38" w:name="Xd81840614743a5f4899f5a55450c72f30f54620"/>
    <w:p>
      <w:pPr>
        <w:pStyle w:val="Heading3"/>
      </w:pPr>
      <w:r>
        <w:t xml:space="preserve">Total Product Carbon Footprint (Cradle-to-Grave) - for Holistic Context</w:t>
      </w:r>
    </w:p>
    <w:p>
      <w:pPr>
        <w:numPr>
          <w:ilvl w:val="0"/>
          <w:numId w:val="1014"/>
        </w:numPr>
        <w:pStyle w:val="Compact"/>
      </w:pPr>
      <w:r>
        <w:t xml:space="preserve">Factory-Gate PCF: 7.70 kgCO2e</w:t>
      </w:r>
    </w:p>
    <w:p>
      <w:pPr>
        <w:numPr>
          <w:ilvl w:val="0"/>
          <w:numId w:val="1014"/>
        </w:numPr>
        <w:pStyle w:val="Compact"/>
      </w:pPr>
      <w:r>
        <w:t xml:space="preserve">Use Phase Emissions: 31.03 kgCO2e</w:t>
      </w:r>
    </w:p>
    <w:p>
      <w:pPr>
        <w:numPr>
          <w:ilvl w:val="0"/>
          <w:numId w:val="1014"/>
        </w:numPr>
        <w:pStyle w:val="Compact"/>
      </w:pPr>
      <w:r>
        <w:t xml:space="preserve">End-of-Life Emissions: 0.02 kgCO2e</w:t>
      </w:r>
    </w:p>
    <w:p>
      <w:pPr>
        <w:numPr>
          <w:ilvl w:val="0"/>
          <w:numId w:val="1014"/>
        </w:numPr>
        <w:pStyle w:val="Compact"/>
      </w:pPr>
      <w:r>
        <w:rPr>
          <w:bCs/>
          <w:b/>
        </w:rPr>
        <w:t xml:space="preserve">Total PCF (Cradle-to-Grave) = 7.70 + 31.03 + 0.02 = 38.75 kgCO2e per functional unit</w:t>
      </w:r>
    </w:p>
    <w:bookmarkEnd w:id="38"/>
    <w:bookmarkStart w:id="39" w:name="application-of-the-2026-lsr-update"/>
    <w:p>
      <w:pPr>
        <w:pStyle w:val="Heading3"/>
      </w:pPr>
      <w:r>
        <w:t xml:space="preserve">Application of the 2026 LSR Update</w:t>
      </w:r>
    </w:p>
    <w:p>
      <w:pPr>
        <w:pStyle w:val="FirstParagraph"/>
      </w:pPr>
      <w:r>
        <w:t xml:space="preserve">The GHG Protocol\'s Land Sector and Removals (LSR) Standard, released in January 2026 and effective January 1, 2027, provides specific accounting requirements and guidance for entities with significant land sector activities and those choosing to report CO2 removals or capture with geologic storage. While a direct application of biogenic carbon accounting from land use change is not explicitly detailed for</w:t>
      </w:r>
      <w:r>
        <w:t xml:space="preserve"> </w:t>
      </w:r>
      <w:r>
        <w:rPr>
          <w:bCs/>
          <w:b/>
        </w:rPr>
        <w:t xml:space="preserve">jrgrhwesty</w:t>
      </w:r>
      <w:r>
        <w:t xml:space="preserve"> </w:t>
      </w:r>
      <w:r>
        <w:t xml:space="preserve">in the provided parameters, the LSR Standard introduces new categories and methodologies for agricultural emissions, land management, and carbon removals.</w:t>
      </w:r>
    </w:p>
    <w:p>
      <w:pPr>
        <w:pStyle w:val="BodyText"/>
      </w:pPr>
      <w:r>
        <w:t xml:space="preserve">For products like</w:t>
      </w:r>
      <w:r>
        <w:t xml:space="preserve"> </w:t>
      </w:r>
      <w:r>
        <w:rPr>
          <w:bCs/>
          <w:b/>
        </w:rPr>
        <w:t xml:space="preserve">jrgrhwesty</w:t>
      </w:r>
      <w:r>
        <w:t xml:space="preserve">, the LSR Standard would be particularly relevant if its raw materials (e.g., specific bio-based plastics, wood, or agricultural derivatives in components/packaging) involved significant land-use change or land management practices in their production. While not fully quantified in this report due to generic input data, a future detailed assessment should rigorously apply the LSR Standard if such material data becomes available, especially for Scope 3 emissions related to purchased goods and services (Category 1).</w:t>
      </w:r>
    </w:p>
    <w:bookmarkEnd w:id="39"/>
    <w:bookmarkStart w:id="40" w:name="scope-3-compliance-95-coverage"/>
    <w:p>
      <w:pPr>
        <w:pStyle w:val="Heading3"/>
      </w:pPr>
      <w:r>
        <w:t xml:space="preserve">Scope 3 Compliance (95% Coverage)</w:t>
      </w:r>
    </w:p>
    <w:p>
      <w:pPr>
        <w:pStyle w:val="FirstParagraph"/>
      </w:pPr>
      <w:r>
        <w:t xml:space="preserve">The GHG Protocol\'s 2026 requirements emphasize achieving at least 95% coverage for Scope 3 reporting. This analysis endeavors to meet this requirement by including all significant upstream value chain emissions (materials, manufacturing energy, inbound logistics) within the \'factory_gate\' boundary. Furthermore, by calculating and discussing downstream emissions (use phase, end-of-life) as additional lifecycle impacts, this report provides a near-complete picture of the product\'s value chain emissions. The material impacts and energy consumption in manufacturing typically represent the most significant portion of a product\'s \'factory_gate\' footprint, and these have been robustly addressed using illustrative data. Efforts to quantify Scope 3 comprehensively are paramount for effective climate strategies.</w:t>
      </w:r>
    </w:p>
    <w:p>
      <w:r>
        <w:pict>
          <v:rect style="width:0;height:1.5pt" o:hralign="center" o:hrstd="t" o:hr="t"/>
        </w:pict>
      </w:r>
    </w:p>
    <w:bookmarkEnd w:id="40"/>
    <w:bookmarkEnd w:id="41"/>
    <w:bookmarkStart w:id="46" w:name="review-report"/>
    <w:p>
      <w:pPr>
        <w:pStyle w:val="Heading2"/>
      </w:pPr>
      <w:r>
        <w:t xml:space="preserve">5. Review &amp; Report</w:t>
      </w:r>
    </w:p>
    <w:bookmarkStart w:id="42" w:name="overall-product-carbon-footprint"/>
    <w:p>
      <w:pPr>
        <w:pStyle w:val="Heading3"/>
      </w:pPr>
      <w:r>
        <w:t xml:space="preserve">Overall Product Carbon Footprint</w:t>
      </w:r>
    </w:p>
    <w:p>
      <w:pPr>
        <w:pStyle w:val="FirstParagraph"/>
      </w:pPr>
      <w:r>
        <w:t xml:space="preserve">The cradle-to-gate Product Carbon Footprint for</w:t>
      </w:r>
      <w:r>
        <w:t xml:space="preserve"> </w:t>
      </w:r>
      <w:r>
        <w:rPr>
          <w:bCs/>
          <w:b/>
        </w:rPr>
        <w:t xml:space="preserve">jrgrhwesty</w:t>
      </w:r>
      <w:r>
        <w:t xml:space="preserve"> </w:t>
      </w:r>
      <w:r>
        <w:t xml:space="preserve">is calculated to be</w:t>
      </w:r>
      <w:r>
        <w:t xml:space="preserve"> </w:t>
      </w:r>
      <w:r>
        <w:rPr>
          <w:bCs/>
          <w:b/>
        </w:rPr>
        <w:t xml:space="preserve">7.70 kgCO2e per unit</w:t>
      </w:r>
      <w:r>
        <w:t xml:space="preserve">. Expanding to a cradle-to-grave perspective, including the use phase and end-of-life, the total lifecycle impact rises significantly to</w:t>
      </w:r>
      <w:r>
        <w:t xml:space="preserve"> </w:t>
      </w:r>
      <w:r>
        <w:rPr>
          <w:bCs/>
          <w:b/>
        </w:rPr>
        <w:t xml:space="preserve">38.75 kgCO2e per unit</w:t>
      </w:r>
      <w:r>
        <w:t xml:space="preserve">. This highlights the substantial contribution of the product\'s energy consumption during its use phase.</w:t>
      </w:r>
    </w:p>
    <w:bookmarkEnd w:id="42"/>
    <w:bookmarkStart w:id="43" w:name="emission-hotspots"/>
    <w:p>
      <w:pPr>
        <w:pStyle w:val="Heading3"/>
      </w:pPr>
      <w:r>
        <w:t xml:space="preserve">Emission Hotspots</w:t>
      </w:r>
    </w:p>
    <w:p>
      <w:pPr>
        <w:pStyle w:val="FirstParagraph"/>
      </w:pPr>
      <w:r>
        <w:t xml:space="preserve">The analysis reveals the following emission hotspots for</w:t>
      </w:r>
      <w:r>
        <w:t xml:space="preserve"> </w:t>
      </w:r>
      <w:r>
        <w:rPr>
          <w:bCs/>
          <w:b/>
        </w:rPr>
        <w:t xml:space="preserve">jrgrhwesty</w:t>
      </w:r>
      <w:r>
        <w:t xml:space="preserve">:</w:t>
      </w:r>
    </w:p>
    <w:p>
      <w:pPr>
        <w:numPr>
          <w:ilvl w:val="0"/>
          <w:numId w:val="1015"/>
        </w:numPr>
        <w:pStyle w:val="Compact"/>
      </w:pPr>
      <w:r>
        <w:rPr>
          <w:bCs/>
          <w:b/>
        </w:rPr>
        <w:t xml:space="preserve">Material Acquisition (Scope 3, Category 1):</w:t>
      </w:r>
      <w:r>
        <w:t xml:space="preserve"> </w:t>
      </w:r>
      <w:r>
        <w:t xml:space="preserve">Constituting the largest share of the factory-gate footprint (6.99 kgCO2e), primarily driven by high-impact materials such as Aluminium Alloy and Silicon Chips. This indicates that efforts to source lower-carbon alternatives, increase recycled content, or optimize material usage would yield the most significant reductions within the cradle-to-gate boundary.</w:t>
      </w:r>
    </w:p>
    <w:p>
      <w:pPr>
        <w:numPr>
          <w:ilvl w:val="0"/>
          <w:numId w:val="1015"/>
        </w:numPr>
        <w:pStyle w:val="Compact"/>
      </w:pPr>
      <w:r>
        <w:rPr>
          <w:bCs/>
          <w:b/>
        </w:rPr>
        <w:t xml:space="preserve">Use Phase (Scope 3, Category 11):</w:t>
      </w:r>
      <w:r>
        <w:t xml:space="preserve"> </w:t>
      </w:r>
      <w:r>
        <w:t xml:space="preserve">While outside the \'factory_gate\' boundary, the use phase is the dominant contributor to the overall cradle-to-grave footprint (31.03 kgCO2e). This suggests that product design for energy efficiency and consumer behavior during usage are critical levers for reducing the total lifecycle impact.</w:t>
      </w:r>
    </w:p>
    <w:p>
      <w:pPr>
        <w:numPr>
          <w:ilvl w:val="0"/>
          <w:numId w:val="1015"/>
        </w:numPr>
        <w:pStyle w:val="Compact"/>
      </w:pPr>
      <w:r>
        <w:rPr>
          <w:bCs/>
          <w:b/>
        </w:rPr>
        <w:t xml:space="preserve">Manufacturing Energy (Scope 2):</w:t>
      </w:r>
      <w:r>
        <w:t xml:space="preserve"> </w:t>
      </w:r>
      <w:r>
        <w:t xml:space="preserve">Although a smaller portion of the factory-gate footprint (0.37 kgCO2e), the reliance on grid electricity in China, even with 60% renewable usage, still contributes to emissions. Increasing renewable energy integration beyond 60% or improving energy efficiency in production processes would further reduce this impact.</w:t>
      </w:r>
    </w:p>
    <w:bookmarkEnd w:id="43"/>
    <w:bookmarkStart w:id="44" w:name="reliability-and-data-limitations"/>
    <w:p>
      <w:pPr>
        <w:pStyle w:val="Heading3"/>
      </w:pPr>
      <w:r>
        <w:t xml:space="preserve">Reliability and Data Limitations</w:t>
      </w:r>
    </w:p>
    <w:p>
      <w:pPr>
        <w:pStyle w:val="FirstParagraph"/>
      </w:pPr>
      <w:r>
        <w:t xml:space="preserve">The reliability of this PCF analysis is constrained by the use of illustrative data for key parameters such as the Bill of Materials, transport modes and distances, and energy consumption. While industry-standard emission factors (e.g., from Ecoinvent/DEFRA) have been applied, these are generic averages and may not perfectly reflect specific supplier processes or regional variations. The actual PCF for</w:t>
      </w:r>
      <w:r>
        <w:t xml:space="preserve"> </w:t>
      </w:r>
      <w:r>
        <w:rPr>
          <w:bCs/>
          <w:b/>
        </w:rPr>
        <w:t xml:space="preserve">jrgrhwesty</w:t>
      </w:r>
      <w:r>
        <w:t xml:space="preserve"> </w:t>
      </w:r>
      <w:r>
        <w:t xml:space="preserve">could differ if primary, supplier-specific data were available for all inputs. The discussion of the use phase and end-of-life relies on estimated consumption and disposal scenarios. Despite these limitations, this report provides a robust framework and a strong indication of the product\'s environmental performance and key impact areas.</w:t>
      </w:r>
    </w:p>
    <w:bookmarkEnd w:id="44"/>
    <w:bookmarkStart w:id="45" w:name="recommendations"/>
    <w:p>
      <w:pPr>
        <w:pStyle w:val="Heading3"/>
      </w:pPr>
      <w:r>
        <w:t xml:space="preserve">Recommendations</w:t>
      </w:r>
    </w:p>
    <w:p>
      <w:pPr>
        <w:pStyle w:val="FirstParagraph"/>
      </w:pPr>
      <w:r>
        <w:t xml:space="preserve">Based on this high-detail PCF analysis,</w:t>
      </w:r>
      <w:r>
        <w:t xml:space="preserve"> </w:t>
      </w:r>
      <w:r>
        <w:rPr>
          <w:bCs/>
          <w:b/>
        </w:rPr>
        <w:t xml:space="preserve">nvojggzzuo</w:t>
      </w:r>
      <w:r>
        <w:t xml:space="preserve"> </w:t>
      </w:r>
      <w:r>
        <w:t xml:space="preserve">should consider the following recommendations:</w:t>
      </w:r>
    </w:p>
    <w:p>
      <w:pPr>
        <w:numPr>
          <w:ilvl w:val="0"/>
          <w:numId w:val="1016"/>
        </w:numPr>
        <w:pStyle w:val="Compact"/>
      </w:pPr>
      <w:r>
        <w:rPr>
          <w:bCs/>
          <w:b/>
        </w:rPr>
        <w:t xml:space="preserve">Material Decarbonization:</w:t>
      </w:r>
      <w:r>
        <w:t xml:space="preserve"> </w:t>
      </w:r>
      <w:r>
        <w:t xml:space="preserve">Investigate opportunities to reduce the impact of high-emission materials (Aluminium, Silicon) by exploring materials with lower embodied carbon, increasing recycled content, or optimizing product design for material efficiency. Engage with suppliers to obtain primary emission data for specific materials.</w:t>
      </w:r>
    </w:p>
    <w:p>
      <w:pPr>
        <w:numPr>
          <w:ilvl w:val="0"/>
          <w:numId w:val="1016"/>
        </w:numPr>
        <w:pStyle w:val="Compact"/>
      </w:pPr>
      <w:r>
        <w:rPr>
          <w:bCs/>
          <w:b/>
        </w:rPr>
        <w:t xml:space="preserve">Enhance Energy Efficiency in Production:</w:t>
      </w:r>
      <w:r>
        <w:t xml:space="preserve"> </w:t>
      </w:r>
      <w:r>
        <w:t xml:space="preserve">Continuously improve energy efficiency at the manufacturing facility and further increase the procurement of renewable energy beyond the current 60% to reduce Scope 2 emissions.</w:t>
      </w:r>
    </w:p>
    <w:p>
      <w:pPr>
        <w:numPr>
          <w:ilvl w:val="0"/>
          <w:numId w:val="1016"/>
        </w:numPr>
        <w:pStyle w:val="Compact"/>
      </w:pPr>
      <w:r>
        <w:rPr>
          <w:bCs/>
          <w:b/>
        </w:rPr>
        <w:t xml:space="preserve">Optimize Upstream Logistics:</w:t>
      </w:r>
      <w:r>
        <w:t xml:space="preserve"> </w:t>
      </w:r>
      <w:r>
        <w:t xml:space="preserve">Evaluate opportunities for optimizing transportation routes, consolidating shipments, and utilizing lower-emission transport modes where feasible to reduce Scope 3 upstream transport emissions.</w:t>
      </w:r>
    </w:p>
    <w:p>
      <w:pPr>
        <w:numPr>
          <w:ilvl w:val="0"/>
          <w:numId w:val="1016"/>
        </w:numPr>
        <w:pStyle w:val="Compact"/>
      </w:pPr>
      <w:r>
        <w:rPr>
          <w:bCs/>
          <w:b/>
        </w:rPr>
        <w:t xml:space="preserve">Focus on Use Phase Design:</w:t>
      </w:r>
      <w:r>
        <w:t xml:space="preserve"> </w:t>
      </w:r>
      <w:r>
        <w:t xml:space="preserve">Given the significant impact of the use phase, prioritize product design enhancements that reduce energy consumption during the product\'s lifespan. Educate consumers on energy-efficient usage practices.</w:t>
      </w:r>
    </w:p>
    <w:p>
      <w:pPr>
        <w:numPr>
          <w:ilvl w:val="0"/>
          <w:numId w:val="1016"/>
        </w:numPr>
        <w:pStyle w:val="Compact"/>
      </w:pPr>
      <w:r>
        <w:rPr>
          <w:bCs/>
          <w:b/>
        </w:rPr>
        <w:t xml:space="preserve">Strengthen Circular Economy Initiatives:</w:t>
      </w:r>
      <w:r>
        <w:t xml:space="preserve"> </w:t>
      </w:r>
      <w:r>
        <w:t xml:space="preserve">Expand and promote circular economy strategies, including the regional take-back scheme (mtfdogoony), to maximize product lifespan, repairability, and effective end-of-life management beyond the 75% recyclability target.</w:t>
      </w:r>
    </w:p>
    <w:p>
      <w:pPr>
        <w:numPr>
          <w:ilvl w:val="0"/>
          <w:numId w:val="1016"/>
        </w:numPr>
        <w:pStyle w:val="Compact"/>
      </w:pPr>
      <w:r>
        <w:rPr>
          <w:bCs/>
          <w:b/>
        </w:rPr>
        <w:t xml:space="preserve">Data Collection Improvement:</w:t>
      </w:r>
      <w:r>
        <w:t xml:space="preserve"> </w:t>
      </w:r>
      <w:r>
        <w:t xml:space="preserve">For future analyses, prioritize the collection of primary data from suppliers for material composition, specific manufacturing processes, and actual transport distances and modes to enhance the accuracy and robustness of the PCF.</w:t>
      </w:r>
    </w:p>
    <w:p>
      <w:pPr>
        <w:pStyle w:val="FirstParagraph"/>
      </w:pPr>
      <w:r>
        <w:t xml:space="preserve">This report serves as a foundational step for</w:t>
      </w:r>
      <w:r>
        <w:t xml:space="preserve"> </w:t>
      </w:r>
      <w:r>
        <w:rPr>
          <w:bCs/>
          <w:b/>
        </w:rPr>
        <w:t xml:space="preserve">nvojggzzuo</w:t>
      </w:r>
      <w:r>
        <w:t xml:space="preserve"> </w:t>
      </w:r>
      <w:r>
        <w:t xml:space="preserve">in understanding the environmental footprint of</w:t>
      </w:r>
      <w:r>
        <w:t xml:space="preserve"> </w:t>
      </w:r>
      <w:r>
        <w:rPr>
          <w:bCs/>
          <w:b/>
        </w:rPr>
        <w:t xml:space="preserve">jrgrhwesty</w:t>
      </w:r>
      <w:r>
        <w:t xml:space="preserve"> </w:t>
      </w:r>
      <w:r>
        <w:t xml:space="preserve">and identifying strategic areas for emission reduction in line with global sustainability goals and the rigorous requirements of the GHG Protocol.</w:t>
      </w:r>
    </w:p>
    <w:p>
      <w:pPr>
        <w:pStyle w:val="BodyText"/>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jrgrhwesty</dc:title>
  <dc:creator/>
  <dc:description>High-detail Product Carbon Footprint (PCF) analysis for jrgrhwesty, following GHG Protocol standards, conducted by Senior Sustainability Consultant moidresvns for nvojggzzuo.</dc:description>
  <dc:language>en</dc:language>
  <cp:keywords/>
  <dcterms:created xsi:type="dcterms:W3CDTF">2026-07-15T01:34:59Z</dcterms:created>
  <dcterms:modified xsi:type="dcterms:W3CDTF">2026-07-15T01:34:59Z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