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jqujjxrmge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jqujjxrmge</w:t>
      </w:r>
    </w:p>
    <w:p>
      <w:pPr>
        <w:pStyle w:val="BodyText"/>
      </w:pPr>
      <w:r>
        <w:t xml:space="preserve">Company Name: ynlrekkqti</w:t>
      </w:r>
    </w:p>
    <w:p>
      <w:pPr>
        <w:pStyle w:val="BodyText"/>
      </w:pPr>
      <w:r>
        <w:t xml:space="preserve">Senior Sustainability Consultant: lvtjepemgz</w:t>
      </w:r>
    </w:p>
    <w:p>
      <w:pPr>
        <w:pStyle w:val="BodyText"/>
      </w:pPr>
      <w:r>
        <w:t xml:space="preserve">Accounting Standard: GHG Protocol</w:t>
      </w:r>
    </w:p>
    <w:p>
      <w:pPr>
        <w:pStyle w:val="BodyText"/>
      </w:pPr>
      <w:r>
        <w:t xml:space="preserve">Disclaimer: This report is generated based on available data and industry standards. Specific parameters provided as placeholders (e.g., txqtdrej, zeuvzdphsj) have been interpreted with illustrative values for demonstration purposes, necessitating actual data for definitive calculations.</w:t>
      </w:r>
    </w:p>
    <w:bookmarkEnd w:id="20"/>
    <w:bookmarkStart w:id="21" w:name="X1fc90310ec77a7a744ed5f841c53840ab4e317c"/>
    <w:p>
      <w:pPr>
        <w:pStyle w:val="Heading1"/>
      </w:pPr>
      <w:r>
        <w:t xml:space="preserve">Product Carbon Footprint Analysis for jqujjxrmge</w:t>
      </w:r>
    </w:p>
    <w:p>
      <w:pPr>
        <w:pStyle w:val="FirstParagraph"/>
      </w:pPr>
      <w:r>
        <w:t xml:space="preserve">Generated Date: Tuesday,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jqujjxrmge, manufactured by ynlrekkqti. The assessment was performed by lvtjepemgz, a Senior Sustainability Consultant specializing in GHG Protocol. Adhering strictly to the GHG Protocol and incorporating the latest 2026 Land Sector and Removals (LSR) Standard updates, this analysis quantifies the greenhouse gas emissions across the product\'s lifecycle. Due to the placeholder nature of some input parameters, illustrative data has been used to demonstrate the methodology and potential impact areas. The report highlights material impacts, production energy use, transport logistics, the use phase, and end-of-life scenarios to identify key emission hotspots and inform strategic decarbonization efforts.</w:t>
      </w:r>
    </w:p>
    <w:p>
      <w:r>
        <w:pict>
          <v:rect style="width:0;height:1.5pt" o:hralign="center" o:hrstd="t" o:hr="t"/>
        </w:pict>
      </w:r>
    </w:p>
    <w:bookmarkEnd w:id="22"/>
    <w:bookmarkStart w:id="26" w:name="introduction-and-methodology"/>
    <w:p>
      <w:pPr>
        <w:pStyle w:val="Heading2"/>
      </w:pPr>
      <w:r>
        <w:t xml:space="preserve">1. Introduction and Methodology</w:t>
      </w:r>
    </w:p>
    <w:p>
      <w:pPr>
        <w:pStyle w:val="FirstParagraph"/>
      </w:pPr>
      <w:r>
        <w:t xml:space="preserve">This Product Carbon Footprint (PCF) analysis quantifies the greenhouse gas (GHG) emissions associated with the product jqujjxrmge, manufactured by ynlrekkqti. The assessment strictly adheres to the GHG Protocol Product Standard, covering all relevant emissions across the product\'s lifecycle.</w:t>
      </w:r>
    </w:p>
    <w:bookmarkStart w:id="23" w:name="ghg-protocol-adherence"/>
    <w:p>
      <w:pPr>
        <w:pStyle w:val="Heading3"/>
      </w:pPr>
      <w:r>
        <w:t xml:space="preserve">1.1. GHG Protocol Adherence</w:t>
      </w:r>
    </w:p>
    <w:p>
      <w:pPr>
        <w:pStyle w:val="FirstParagraph"/>
      </w:pPr>
      <w:r>
        <w:t xml:space="preserve">The analysis categorizes emissions according to the Greenhouse Gas Protocol:</w:t>
      </w:r>
    </w:p>
    <w:p>
      <w:pPr>
        <w:numPr>
          <w:ilvl w:val="0"/>
          <w:numId w:val="1001"/>
        </w:numPr>
        <w:pStyle w:val="Compact"/>
      </w:pPr>
      <w:r>
        <w:rPr>
          <w:bCs/>
          <w:b/>
        </w:rPr>
        <w:t xml:space="preserve">Scope 1: Direct GHG Emissions</w:t>
      </w:r>
      <w:r>
        <w:t xml:space="preserve"> </w:t>
      </w:r>
      <w:r>
        <w:t xml:space="preserve">from sources owned or controlled by ynlrekkqti.</w:t>
      </w:r>
    </w:p>
    <w:p>
      <w:pPr>
        <w:numPr>
          <w:ilvl w:val="0"/>
          <w:numId w:val="1001"/>
        </w:numPr>
        <w:pStyle w:val="Compact"/>
      </w:pPr>
      <w:r>
        <w:rPr>
          <w:bCs/>
          <w:b/>
        </w:rPr>
        <w:t xml:space="preserve">Scope 2: Indirect GHG Emissions</w:t>
      </w:r>
      <w:r>
        <w:t xml:space="preserve"> </w:t>
      </w:r>
      <w:r>
        <w:t xml:space="preserve">from the generation of purchased electricity, heat, or steam consumed by ynlrekkqti.</w:t>
      </w:r>
    </w:p>
    <w:p>
      <w:pPr>
        <w:numPr>
          <w:ilvl w:val="0"/>
          <w:numId w:val="1001"/>
        </w:numPr>
        <w:pStyle w:val="Compact"/>
      </w:pPr>
      <w:r>
        <w:rPr>
          <w:bCs/>
          <w:b/>
        </w:rPr>
        <w:t xml:space="preserve">Scope 3: Other Indirect GHG Emissions</w:t>
      </w:r>
      <w:r>
        <w:t xml:space="preserve"> </w:t>
      </w:r>
      <w:r>
        <w:t xml:space="preserve">occurring from sources not owned or controlled by ynlrekkqti but related to its operations, encompassing both upstream and downstream value chain activities. The goal is to achieve at least 95% coverage for Scope 3 reporting, in line with 2026 requirements, by focusing on key categories such as purchased goods and services, transportation, use of sold products, and end-of-life treatment of sold products.</w:t>
      </w:r>
    </w:p>
    <w:bookmarkEnd w:id="23"/>
    <w:bookmarkStart w:id="24" w:name="X504f4a86e01fdcfa46a4589bb1b5e0cfaad8629"/>
    <w:p>
      <w:pPr>
        <w:pStyle w:val="Heading3"/>
      </w:pPr>
      <w:r>
        <w:t xml:space="preserve">1.2. 2026 Land Sector and Removals (LSR) Standard Update</w:t>
      </w:r>
    </w:p>
    <w:p>
      <w:pPr>
        <w:pStyle w:val="FirstParagraph"/>
      </w:pPr>
      <w:r>
        <w:t xml:space="preserve">The Land Sector and Removals (LSR) Standard, effective January 1, 2027, provides essential accounting requirements and guidance for quantifying, reporting, and tracking land emissions, CO2 removals, and other key metrics. This standard is crucial for companies with land sector activities in their operations or value chain, including those involved in producing, processing, buying, or selling agricultural products. While specific land-use data for jqujjxrmge was not provided, its potential relevance to any bio-based materials or land-intensive processes within the supply chain is acknowledged. Future iterations of this analysis would integrate specific data as the LSR Standard guidance, expected in Q2 2026, becomes fully operational.</w:t>
      </w:r>
    </w:p>
    <w:bookmarkEnd w:id="24"/>
    <w:bookmarkStart w:id="25" w:name="methodology-steps"/>
    <w:p>
      <w:pPr>
        <w:pStyle w:val="Heading3"/>
      </w:pPr>
      <w:r>
        <w:t xml:space="preserve">1.3. Methodology Steps</w:t>
      </w:r>
    </w:p>
    <w:p>
      <w:pPr>
        <w:pStyle w:val="FirstParagraph"/>
      </w:pPr>
      <w:r>
        <w:t xml:space="preserve">The PCF analysis followed a five-step approach:</w:t>
      </w:r>
    </w:p>
    <w:p>
      <w:pPr>
        <w:numPr>
          <w:ilvl w:val="0"/>
          <w:numId w:val="1002"/>
        </w:numPr>
        <w:pStyle w:val="Compact"/>
      </w:pPr>
      <w:r>
        <w:rPr>
          <w:bCs/>
          <w:b/>
        </w:rPr>
        <w:t xml:space="preserve">Define Scope:</w:t>
      </w:r>
    </w:p>
    <w:p>
      <w:pPr>
        <w:numPr>
          <w:ilvl w:val="1"/>
          <w:numId w:val="1003"/>
        </w:numPr>
        <w:pStyle w:val="Compact"/>
      </w:pPr>
      <w:r>
        <w:rPr>
          <w:bCs/>
          <w:b/>
        </w:rPr>
        <w:t xml:space="preserve">Functional Unit:</w:t>
      </w:r>
      <w:r>
        <w:t xml:space="preserve"> </w:t>
      </w:r>
      <w:r>
        <w:t xml:space="preserve">1.0 unit of jqujjxrmge.</w:t>
      </w:r>
    </w:p>
    <w:p>
      <w:pPr>
        <w:numPr>
          <w:ilvl w:val="1"/>
          <w:numId w:val="1003"/>
        </w:numPr>
        <w:pStyle w:val="Compact"/>
      </w:pPr>
      <w:r>
        <w:rPr>
          <w:bCs/>
          <w:b/>
        </w:rPr>
        <w:t xml:space="preserve">System Boundary:</w:t>
      </w:r>
      <w:r>
        <w:t xml:space="preserve"> </w:t>
      </w:r>
      <w:r>
        <w:t xml:space="preserve">factory_gate, encompassing raw material extraction through manufacturing, with selected downstream elements (transport, use, and end-of-life) for a comprehensive product view.</w:t>
      </w:r>
    </w:p>
    <w:p>
      <w:pPr>
        <w:numPr>
          <w:ilvl w:val="1"/>
          <w:numId w:val="1003"/>
        </w:numPr>
        <w:pStyle w:val="Compact"/>
      </w:pPr>
      <w:r>
        <w:rPr>
          <w:bCs/>
          <w:b/>
        </w:rPr>
        <w:t xml:space="preserve">Geographic Scope:</w:t>
      </w:r>
      <w:r>
        <w:t xml:space="preserve"> </w:t>
      </w:r>
      <w:r>
        <w:t xml:space="preserve">Final Production Country: China, Supply Chain Focus: Europe Focused.</w:t>
      </w:r>
    </w:p>
    <w:p>
      <w:pPr>
        <w:numPr>
          <w:ilvl w:val="1"/>
          <w:numId w:val="1003"/>
        </w:numPr>
        <w:pStyle w:val="Compact"/>
      </w:pPr>
      <w:r>
        <w:rPr>
          <w:bCs/>
          <w:b/>
        </w:rPr>
        <w:t xml:space="preserve">Allocation:</w:t>
      </w:r>
      <w:r>
        <w:t xml:space="preserve"> </w:t>
      </w:r>
      <w:r>
        <w:t xml:space="preserve">Mass-based allocation is assumed for co-product or recycling scenarios, where applicable.</w:t>
      </w:r>
    </w:p>
    <w:p>
      <w:pPr>
        <w:numPr>
          <w:ilvl w:val="0"/>
          <w:numId w:val="1002"/>
        </w:numPr>
        <w:pStyle w:val="Compact"/>
      </w:pPr>
      <w:r>
        <w:rPr>
          <w:bCs/>
          <w:b/>
        </w:rPr>
        <w:t xml:space="preserve">Map Lifecycle (LCI Inventory Stages):</w:t>
      </w:r>
      <w:r>
        <w:t xml:space="preserve"> </w:t>
      </w:r>
      <w:r>
        <w:t xml:space="preserve">Identification of all processes and flows from raw material acquisition to end-of-life.</w:t>
      </w:r>
    </w:p>
    <w:p>
      <w:pPr>
        <w:numPr>
          <w:ilvl w:val="0"/>
          <w:numId w:val="1002"/>
        </w:numPr>
        <w:pStyle w:val="Compact"/>
      </w:pPr>
      <w:r>
        <w:rPr>
          <w:bCs/>
          <w:b/>
        </w:rPr>
        <w:t xml:space="preserve">Collect Data:</w:t>
      </w:r>
      <w:r>
        <w:t xml:space="preserve"> </w:t>
      </w:r>
      <w:r>
        <w:t xml:space="preserve">Compilation of primary activity data (where provided) and secondary data (industry-standard emission factors).</w:t>
      </w:r>
    </w:p>
    <w:p>
      <w:pPr>
        <w:numPr>
          <w:ilvl w:val="0"/>
          <w:numId w:val="1002"/>
        </w:numPr>
        <w:pStyle w:val="Compact"/>
      </w:pPr>
      <w:r>
        <w:rPr>
          <w:bCs/>
          <w:b/>
        </w:rPr>
        <w:t xml:space="preserve">Calculate Emissions:</w:t>
      </w:r>
      <w:r>
        <w:t xml:space="preserve"> </w:t>
      </w:r>
      <w:r>
        <w:t xml:space="preserve">Quantification of GHG emissions (CO2e) for each life cycle stage (Activity Data × Emission Factor).</w:t>
      </w:r>
    </w:p>
    <w:p>
      <w:pPr>
        <w:numPr>
          <w:ilvl w:val="0"/>
          <w:numId w:val="1002"/>
        </w:numPr>
        <w:pStyle w:val="Compact"/>
      </w:pPr>
      <w:r>
        <w:rPr>
          <w:bCs/>
          <w:b/>
        </w:rPr>
        <w:t xml:space="preserve">Review &amp; Report:</w:t>
      </w:r>
      <w:r>
        <w:t xml:space="preserve"> </w:t>
      </w:r>
      <w:r>
        <w:t xml:space="preserve">Identification of emission hotspots and assessment of data reliability.</w:t>
      </w:r>
    </w:p>
    <w:p>
      <w:r>
        <w:pict>
          <v:rect style="width:0;height:1.5pt" o:hralign="center" o:hrstd="t" o:hr="t"/>
        </w:pict>
      </w:r>
    </w:p>
    <w:bookmarkEnd w:id="25"/>
    <w:bookmarkEnd w:id="26"/>
    <w:bookmarkStart w:id="33" w:name="lifecycle-inventory-and-data-collection"/>
    <w:p>
      <w:pPr>
        <w:pStyle w:val="Heading2"/>
      </w:pPr>
      <w:r>
        <w:t xml:space="preserve">2. Lifecycle Inventory and Data Collection</w:t>
      </w:r>
    </w:p>
    <w:p>
      <w:pPr>
        <w:pStyle w:val="FirstParagraph"/>
      </w:pPr>
      <w:r>
        <w:t xml:space="preserve">This section details the inputs and processes across the lifecycle of jqujjxrmge. Given that some parameters were provided as placeholders, illustrative values and assumptions are used to demonstrate the calculation methodology. Actual specific data for these parameters would be required for a definitive PCF result.</w:t>
      </w:r>
    </w:p>
    <w:bookmarkStart w:id="28" w:name="X3635aa66c9e554f88c493fbe32dbabbdc9425d2"/>
    <w:p>
      <w:pPr>
        <w:pStyle w:val="Heading3"/>
      </w:pPr>
      <w:r>
        <w:t xml:space="preserve">2.1. Materials Acquisition &amp; Pre-processing (Scope 3: Upstream)</w:t>
      </w:r>
    </w:p>
    <w:p>
      <w:pPr>
        <w:pStyle w:val="FirstParagraph"/>
      </w:pPr>
      <w:r>
        <w:t xml:space="preserve">The Detailed Bill of Materials (BOM) for txqtdrej is crucial for an accurate assessment. For this report, an illustrative BOM is presented, structured according to the specified format (ID, Description, Category, Process, Qty, Unit, Emission Factor, Total Carbon). The \'Total Carbon\' values are illustrative and derived using sample emission factors from industry databases (e.g., Ecoinvent/DEFRA) for the respective material categories.</w:t>
      </w:r>
    </w:p>
    <w:bookmarkStart w:id="27" w:name="Xbe6d07960647994437a977db9aebb917f259345"/>
    <w:p>
      <w:pPr>
        <w:pStyle w:val="Heading4"/>
      </w:pPr>
      <w:r>
        <w:t xml:space="preserve">Illustrative Bill of Materials (BOM) for jqujjxrmge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M-001</w:t>
            </w:r>
          </w:p>
        </w:tc>
        <w:tc>
          <w:tcPr/>
          <w:p>
            <w:pPr>
              <w:pStyle w:val="Compact"/>
              <w:jc w:val="left"/>
            </w:pPr>
            <w:r>
              <w:t xml:space="preserve">Primary Plastic Resin</w:t>
            </w:r>
          </w:p>
        </w:tc>
        <w:tc>
          <w:tcPr/>
          <w:p>
            <w:pPr>
              <w:pStyle w:val="Compact"/>
              <w:jc w:val="left"/>
            </w:pPr>
            <w:r>
              <w:t xml:space="preserve">Plastics</w:t>
            </w:r>
          </w:p>
        </w:tc>
        <w:tc>
          <w:tcPr/>
          <w:p>
            <w:pPr>
              <w:pStyle w:val="Compact"/>
              <w:jc w:val="left"/>
            </w:pPr>
            <w:r>
              <w:t xml:space="preserve">Polymerization &amp;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Recycled Steel Component</w:t>
            </w:r>
          </w:p>
        </w:tc>
        <w:tc>
          <w:tcPr/>
          <w:p>
            <w:pPr>
              <w:pStyle w:val="Compact"/>
              <w:jc w:val="left"/>
            </w:pPr>
            <w:r>
              <w:t xml:space="preserve">Metals</w:t>
            </w:r>
          </w:p>
        </w:tc>
        <w:tc>
          <w:tcPr/>
          <w:p>
            <w:pPr>
              <w:pStyle w:val="Compact"/>
              <w:jc w:val="left"/>
            </w:pPr>
            <w:r>
              <w:t xml:space="preserve">Steel Production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1.36</w:t>
            </w:r>
          </w:p>
        </w:tc>
        <w:tc>
          <w:tcPr/>
          <w:p>
            <w:pPr>
              <w:pStyle w:val="Compact"/>
              <w:jc w:val="left"/>
            </w:pPr>
            <w:r>
              <w:t xml:space="preserve">0.27</w:t>
            </w:r>
          </w:p>
        </w:tc>
      </w:tr>
      <w:tr>
        <w:tc>
          <w:tcPr/>
          <w:p>
            <w:pPr>
              <w:pStyle w:val="Compact"/>
              <w:jc w:val="left"/>
            </w:pPr>
            <w:r>
              <w:t xml:space="preserve">M-003</w:t>
            </w:r>
          </w:p>
        </w:tc>
        <w:tc>
          <w:tcPr/>
          <w:p>
            <w:pPr>
              <w:pStyle w:val="Compact"/>
              <w:jc w:val="left"/>
            </w:pPr>
            <w:r>
              <w:t xml:space="preserve">Glass Panel</w:t>
            </w:r>
          </w:p>
        </w:tc>
        <w:tc>
          <w:tcPr/>
          <w:p>
            <w:pPr>
              <w:pStyle w:val="Compact"/>
              <w:jc w:val="left"/>
            </w:pPr>
            <w:r>
              <w:t xml:space="preserve">Glass</w:t>
            </w:r>
          </w:p>
        </w:tc>
        <w:tc>
          <w:tcPr/>
          <w:p>
            <w:pPr>
              <w:pStyle w:val="Compact"/>
              <w:jc w:val="left"/>
            </w:pPr>
            <w:r>
              <w:t xml:space="preserve">Glass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0.4</w:t>
            </w:r>
          </w:p>
        </w:tc>
        <w:tc>
          <w:tcPr/>
          <w:p>
            <w:pPr>
              <w:pStyle w:val="Compact"/>
              <w:jc w:val="left"/>
            </w:pPr>
            <w:r>
              <w:t xml:space="preserve">0.04</w:t>
            </w:r>
          </w:p>
        </w:tc>
      </w:tr>
      <w:tr>
        <w:tc>
          <w:tcPr/>
          <w:p>
            <w:pPr>
              <w:pStyle w:val="Compact"/>
              <w:jc w:val="left"/>
            </w:pPr>
            <w:r>
              <w:t xml:space="preserve">M-004</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Material (Cardboard)</w:t>
            </w:r>
          </w:p>
        </w:tc>
        <w:tc>
          <w:tcPr/>
          <w:p>
            <w:pPr>
              <w:pStyle w:val="Compact"/>
              <w:jc w:val="left"/>
            </w:pPr>
            <w:r>
              <w:t xml:space="preserve">Paper &amp; Pulp</w:t>
            </w:r>
          </w:p>
        </w:tc>
        <w:tc>
          <w:tcPr/>
          <w:p>
            <w:pPr>
              <w:pStyle w:val="Compact"/>
              <w:jc w:val="left"/>
            </w:pPr>
            <w:r>
              <w:t xml:space="preserve">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iCs/>
          <w:i/>
        </w:rPr>
        <w:t xml:space="preserve">Note: The "Illustrative Emission Factor" and "Illustrative Total Carbon" values are approximate examples for demonstration purposes. Actual values would be derived from specific material data in the provided BOM (txqtdrej) and relevant, up-to-date Ecoinvent/DEFRA database factors.</w:t>
      </w:r>
    </w:p>
    <w:bookmarkEnd w:id="27"/>
    <w:bookmarkEnd w:id="28"/>
    <w:bookmarkStart w:id="29" w:name="manufacturing-production-phase-scope-1-2"/>
    <w:p>
      <w:pPr>
        <w:pStyle w:val="Heading3"/>
      </w:pPr>
      <w:r>
        <w:t xml:space="preserve">2.2. Manufacturing (Production Phase) (Scope 1 &amp; 2)</w:t>
      </w:r>
    </w:p>
    <w:p>
      <w:pPr>
        <w:pStyle w:val="FirstParagraph"/>
      </w:pPr>
      <w:r>
        <w:t xml:space="preserve">The manufacturing process in China involves energy consumption as a primary input.</w:t>
      </w:r>
    </w:p>
    <w:p>
      <w:pPr>
        <w:numPr>
          <w:ilvl w:val="0"/>
          <w:numId w:val="1004"/>
        </w:numPr>
        <w:pStyle w:val="Compact"/>
      </w:pPr>
      <w:r>
        <w:rPr>
          <w:bCs/>
          <w:b/>
        </w:rPr>
        <w:t xml:space="preserve">Energy Intensity (kWh/unit):</w:t>
      </w:r>
      <w:r>
        <w:t xml:space="preserve"> </w:t>
      </w:r>
      <w:r>
        <w:t xml:space="preserve">vtnhhgzksd (Illustrative: 10 kWh/unit)</w:t>
      </w:r>
    </w:p>
    <w:p>
      <w:pPr>
        <w:numPr>
          <w:ilvl w:val="0"/>
          <w:numId w:val="1004"/>
        </w:numPr>
        <w:pStyle w:val="Compact"/>
      </w:pPr>
      <w:r>
        <w:rPr>
          <w:bCs/>
          <w:b/>
        </w:rPr>
        <w:t xml:space="preserve">Renewable Energy Usage:</w:t>
      </w:r>
      <w:r>
        <w:t xml:space="preserve"> </w:t>
      </w:r>
      <w:r>
        <w:t xml:space="preserve">lzspenlwpo (Illustrative: 30%)</w:t>
      </w:r>
    </w:p>
    <w:p>
      <w:pPr>
        <w:pStyle w:val="FirstParagraph"/>
      </w:pPr>
      <w:r>
        <w:t xml:space="preserve">Assuming a grid emission factor for China of 0.55 kgCO2e/kWh for non-renewable electricity, and considering the renewable energy usage, the grid electricity impact can be calculated. Direct Scope 1 emissions (e.g., from on-site fuel combustion for processes) are considered negligible or not provided within the \'factory_gate\' boundary for this PCF, unless specified in actual data.</w:t>
      </w:r>
    </w:p>
    <w:bookmarkEnd w:id="29"/>
    <w:bookmarkStart w:id="30" w:name="transport-scope-3-upstream-downstream"/>
    <w:p>
      <w:pPr>
        <w:pStyle w:val="Heading3"/>
      </w:pPr>
      <w:r>
        <w:t xml:space="preserve">2.3. Transport (Scope 3: Upstream &amp; Downstream)</w:t>
      </w:r>
    </w:p>
    <w:p>
      <w:pPr>
        <w:pStyle w:val="FirstParagraph"/>
      </w:pPr>
      <w:r>
        <w:t xml:space="preserve">Transportation of materials to the factory gate (upstream) and finished products to the customer (downstream) significantly contributes to emissions.</w:t>
      </w:r>
    </w:p>
    <w:p>
      <w:pPr>
        <w:numPr>
          <w:ilvl w:val="0"/>
          <w:numId w:val="1005"/>
        </w:numPr>
        <w:pStyle w:val="Compact"/>
      </w:pPr>
      <w:r>
        <w:rPr>
          <w:bCs/>
          <w:b/>
        </w:rPr>
        <w:t xml:space="preserve">Transport Mode:</w:t>
      </w:r>
      <w:r>
        <w:t xml:space="preserve"> </w:t>
      </w:r>
      <w:r>
        <w:t xml:space="preserve">Select Mode (Illustrative: Road freight, heavy duty)</w:t>
      </w:r>
    </w:p>
    <w:p>
      <w:pPr>
        <w:numPr>
          <w:ilvl w:val="0"/>
          <w:numId w:val="1005"/>
        </w:numPr>
        <w:pStyle w:val="Compact"/>
      </w:pPr>
      <w:r>
        <w:rPr>
          <w:bCs/>
          <w:b/>
        </w:rPr>
        <w:t xml:space="preserve">Transport Distance:</w:t>
      </w:r>
      <w:r>
        <w:t xml:space="preserve"> </w:t>
      </w:r>
      <w:r>
        <w:t xml:space="preserve">zeuvzdphsj (Illustrative: 1000 km for upstream, 500 km for downstream)</w:t>
      </w:r>
    </w:p>
    <w:p>
      <w:pPr>
        <w:numPr>
          <w:ilvl w:val="0"/>
          <w:numId w:val="1005"/>
        </w:numPr>
        <w:pStyle w:val="Compact"/>
      </w:pPr>
      <w:r>
        <w:rPr>
          <w:bCs/>
          <w:b/>
        </w:rPr>
        <w:t xml:space="preserve">Last-Mile Delivery Channel:</w:t>
      </w:r>
      <w:r>
        <w:t xml:space="preserve"> </w:t>
      </w:r>
      <w:r>
        <w:t xml:space="preserve">Delivery Type (Illustrative: Standard Parcel Service, light commercial vehicle)</w:t>
      </w:r>
    </w:p>
    <w:p>
      <w:pPr>
        <w:pStyle w:val="FirstParagraph"/>
      </w:pPr>
      <w:r>
        <w:t xml:space="preserve">An illustrative emission factor for road freight is 0.062 kg CO2e per tonne-kilometer (tkm). Specific modes and distances are critical for accurate calculations, which would be provided by `Select Mode`, `zeuvzdphsj`, and `Delivery Type` in a real-world scenario.</w:t>
      </w:r>
    </w:p>
    <w:bookmarkEnd w:id="30"/>
    <w:bookmarkStart w:id="31" w:name="use-phase-scope-3-downstream"/>
    <w:p>
      <w:pPr>
        <w:pStyle w:val="Heading3"/>
      </w:pPr>
      <w:r>
        <w:t xml:space="preserve">2.4. Use Phase (Scope 3: Downstream)</w:t>
      </w:r>
    </w:p>
    <w:p>
      <w:pPr>
        <w:pStyle w:val="FirstParagraph"/>
      </w:pPr>
      <w:r>
        <w:t xml:space="preserve">The product\'s use phase is determined by its lifespan and energy consumption.</w:t>
      </w:r>
    </w:p>
    <w:p>
      <w:pPr>
        <w:numPr>
          <w:ilvl w:val="0"/>
          <w:numId w:val="1006"/>
        </w:numPr>
        <w:pStyle w:val="Compact"/>
      </w:pPr>
      <w:r>
        <w:rPr>
          <w:bCs/>
          <w:b/>
        </w:rPr>
        <w:t xml:space="preserve">Product Lifespan:</w:t>
      </w:r>
      <w:r>
        <w:t xml:space="preserve"> </w:t>
      </w:r>
      <w:r>
        <w:t xml:space="preserve">regjwviokh (Illustrative: 3 years)</w:t>
      </w:r>
    </w:p>
    <w:p>
      <w:pPr>
        <w:numPr>
          <w:ilvl w:val="0"/>
          <w:numId w:val="1006"/>
        </w:numPr>
        <w:pStyle w:val="Compact"/>
      </w:pPr>
      <w:r>
        <w:rPr>
          <w:bCs/>
          <w:b/>
        </w:rPr>
        <w:t xml:space="preserve">Energy Consumption in Use:</w:t>
      </w:r>
      <w:r>
        <w:t xml:space="preserve"> </w:t>
      </w:r>
      <w:r>
        <w:t xml:space="preserve">gizmmfeqvp (Illustrative: 5 kWh/year)</w:t>
      </w:r>
    </w:p>
    <w:p>
      <w:pPr>
        <w:pStyle w:val="FirstParagraph"/>
      </w:pPr>
      <w:r>
        <w:t xml:space="preserve">With a supply chain focus on Europe for the use phase, an illustrative grid emission factor for Europe (average) of 0.25 kgCO2e/kWh is applied.</w:t>
      </w:r>
    </w:p>
    <w:bookmarkEnd w:id="31"/>
    <w:bookmarkStart w:id="32" w:name="X0b1a7869ec5c89eda6252c7ad7e638ee66010db"/>
    <w:p>
      <w:pPr>
        <w:pStyle w:val="Heading3"/>
      </w:pPr>
      <w:r>
        <w:t xml:space="preserve">2.5. End-of-Life (EoL) Scenarios (Scope 3: Downstream)</w:t>
      </w:r>
    </w:p>
    <w:p>
      <w:pPr>
        <w:pStyle w:val="FirstParagraph"/>
      </w:pPr>
      <w:r>
        <w:t xml:space="preserve">The end-of-life impact depends on recyclability and circularity programs.</w:t>
      </w:r>
    </w:p>
    <w:p>
      <w:pPr>
        <w:numPr>
          <w:ilvl w:val="0"/>
          <w:numId w:val="1007"/>
        </w:numPr>
        <w:pStyle w:val="Compact"/>
      </w:pPr>
      <w:r>
        <w:rPr>
          <w:bCs/>
          <w:b/>
        </w:rPr>
        <w:t xml:space="preserve">Recyclability Percentage:</w:t>
      </w:r>
      <w:r>
        <w:t xml:space="preserve"> </w:t>
      </w:r>
      <w:r>
        <w:t xml:space="preserve">rffnkiivft (Illustrative: 80%)</w:t>
      </w:r>
    </w:p>
    <w:p>
      <w:pPr>
        <w:numPr>
          <w:ilvl w:val="0"/>
          <w:numId w:val="1007"/>
        </w:numPr>
        <w:pStyle w:val="Compact"/>
      </w:pPr>
      <w:r>
        <w:rPr>
          <w:bCs/>
          <w:b/>
        </w:rPr>
        <w:t xml:space="preserve">Circular/Take-back Programs:</w:t>
      </w:r>
      <w:r>
        <w:t xml:space="preserve"> </w:t>
      </w:r>
      <w:r>
        <w:t xml:space="preserve">gjtpvmmylp (Illustrative: Yes, operational take-back scheme)</w:t>
      </w:r>
    </w:p>
    <w:p>
      <w:pPr>
        <w:pStyle w:val="FirstParagraph"/>
      </w:pPr>
      <w:r>
        <w:t xml:space="preserve">Emissions from disposal (e.g., landfill) and avoided emissions from recycling are factored in. An illustrative emission factor for plastic to landfill is 0.05 kgCO2e/kg, while avoided emissions from recycling plastic can be around -1.5 kgCO2e/kg.</w:t>
      </w:r>
    </w:p>
    <w:p>
      <w:r>
        <w:pict>
          <v:rect style="width:0;height:1.5pt" o:hralign="center" o:hrstd="t" o:hr="t"/>
        </w:pict>
      </w:r>
    </w:p>
    <w:bookmarkEnd w:id="32"/>
    <w:bookmarkEnd w:id="33"/>
    <w:bookmarkStart w:id="43" w:name="emission-calculation-and-reporting"/>
    <w:p>
      <w:pPr>
        <w:pStyle w:val="Heading2"/>
      </w:pPr>
      <w:r>
        <w:t xml:space="preserve">3. Emission Calculation and Reporting</w:t>
      </w:r>
    </w:p>
    <w:p>
      <w:pPr>
        <w:pStyle w:val="FirstParagraph"/>
      </w:pPr>
      <w:r>
        <w:t xml:space="preserve">The following section presents the calculated emissions for jqujjxrmge, categorized by GHG Protocol Scopes. All numerical results presented here are based on the illustrative data and emission factors outlined in Section 2, used to demonstrate the methodology.</w:t>
      </w:r>
    </w:p>
    <w:bookmarkStart w:id="34" w:name="Xfc03ee9a1ab1d437c569144015cec95f8d197bd"/>
    <w:p>
      <w:pPr>
        <w:pStyle w:val="Heading3"/>
      </w:pPr>
      <w:r>
        <w:t xml:space="preserve">3.1. Illustrative Emission Factors Used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Illustrative Emission Factor</w:t>
            </w:r>
          </w:p>
        </w:tc>
        <w:tc>
          <w:tcPr/>
          <w:p>
            <w:pPr>
              <w:pStyle w:val="Compact"/>
              <w:jc w:val="left"/>
            </w:pPr>
            <w:r>
              <w:t xml:space="preserve">Unit</w:t>
            </w:r>
          </w:p>
        </w:tc>
        <w:tc>
          <w:tcPr/>
          <w:p>
            <w:pPr>
              <w:pStyle w:val="Compact"/>
              <w:jc w:val="left"/>
            </w:pPr>
            <w:r>
              <w:t xml:space="preserve">Source (Illustrative Examples)</w:t>
            </w:r>
          </w:p>
        </w:tc>
      </w:tr>
      <w:tr>
        <w:tc>
          <w:tcPr/>
          <w:p>
            <w:pPr>
              <w:pStyle w:val="Compact"/>
              <w:jc w:val="left"/>
            </w:pPr>
            <w:r>
              <w:t xml:space="preserve">Virgin Plastic Production</w:t>
            </w:r>
          </w:p>
        </w:tc>
        <w:tc>
          <w:tcPr/>
          <w:p>
            <w:pPr>
              <w:pStyle w:val="Compact"/>
              <w:jc w:val="left"/>
            </w:pPr>
            <w:r>
              <w:t xml:space="preserve">3.0</w:t>
            </w:r>
          </w:p>
        </w:tc>
        <w:tc>
          <w:tcPr/>
          <w:p>
            <w:pPr>
              <w:pStyle w:val="Compact"/>
              <w:jc w:val="left"/>
            </w:pPr>
            <w:r>
              <w:t xml:space="preserve">kgCO2e/kg</w:t>
            </w:r>
          </w:p>
        </w:tc>
        <w:tc>
          <w:tcPr/>
          <w:p>
            <w:pPr>
              <w:pStyle w:val="Compact"/>
              <w:jc w:val="left"/>
            </w:pPr>
            <w:r>
              <w:t xml:space="preserve">Industry averages (e.g.,)</w:t>
            </w:r>
          </w:p>
        </w:tc>
      </w:tr>
      <w:tr>
        <w:tc>
          <w:tcPr/>
          <w:p>
            <w:pPr>
              <w:pStyle w:val="Compact"/>
              <w:jc w:val="left"/>
            </w:pPr>
            <w:r>
              <w:t xml:space="preserve">Recycled Steel Production</w:t>
            </w:r>
          </w:p>
        </w:tc>
        <w:tc>
          <w:tcPr/>
          <w:p>
            <w:pPr>
              <w:pStyle w:val="Compact"/>
              <w:jc w:val="left"/>
            </w:pPr>
            <w:r>
              <w:t xml:space="preserve">1.36</w:t>
            </w:r>
          </w:p>
        </w:tc>
        <w:tc>
          <w:tcPr/>
          <w:p>
            <w:pPr>
              <w:pStyle w:val="Compact"/>
              <w:jc w:val="left"/>
            </w:pPr>
            <w:r>
              <w:t xml:space="preserve">kgCO2e/kg</w:t>
            </w:r>
          </w:p>
        </w:tc>
        <w:tc>
          <w:tcPr/>
          <w:p>
            <w:pPr>
              <w:pStyle w:val="Compact"/>
              <w:jc w:val="left"/>
            </w:pPr>
            <w:r>
              <w:t xml:space="preserve">Climate TRACE (e.g.,)</w:t>
            </w:r>
          </w:p>
        </w:tc>
      </w:tr>
      <w:tr>
        <w:tc>
          <w:tcPr/>
          <w:p>
            <w:pPr>
              <w:pStyle w:val="Compact"/>
              <w:jc w:val="left"/>
            </w:pPr>
            <w:r>
              <w:t xml:space="preserve">Glass Production</w:t>
            </w:r>
          </w:p>
        </w:tc>
        <w:tc>
          <w:tcPr/>
          <w:p>
            <w:pPr>
              <w:pStyle w:val="Compact"/>
              <w:jc w:val="left"/>
            </w:pPr>
            <w:r>
              <w:t xml:space="preserve">0.4</w:t>
            </w:r>
          </w:p>
        </w:tc>
        <w:tc>
          <w:tcPr/>
          <w:p>
            <w:pPr>
              <w:pStyle w:val="Compact"/>
              <w:jc w:val="left"/>
            </w:pPr>
            <w:r>
              <w:t xml:space="preserve">kgCO2e/kg</w:t>
            </w:r>
          </w:p>
        </w:tc>
        <w:tc>
          <w:tcPr/>
          <w:p>
            <w:pPr>
              <w:pStyle w:val="Compact"/>
              <w:jc w:val="left"/>
            </w:pPr>
            <w:r>
              <w:t xml:space="preserve">IPCC default, Climatiq (e.g.,)</w:t>
            </w:r>
          </w:p>
        </w:tc>
      </w:tr>
      <w:tr>
        <w:tc>
          <w:tcPr/>
          <w:p>
            <w:pPr>
              <w:pStyle w:val="Compact"/>
              <w:jc w:val="left"/>
            </w:pPr>
            <w:r>
              <w:t xml:space="preserve">Semiconductor Manufacturing</w:t>
            </w:r>
          </w:p>
        </w:tc>
        <w:tc>
          <w:tcPr/>
          <w:p>
            <w:pPr>
              <w:pStyle w:val="Compact"/>
              <w:jc w:val="left"/>
            </w:pPr>
            <w:r>
              <w:t xml:space="preserve">20.0</w:t>
            </w:r>
          </w:p>
        </w:tc>
        <w:tc>
          <w:tcPr/>
          <w:p>
            <w:pPr>
              <w:pStyle w:val="Compact"/>
              <w:jc w:val="left"/>
            </w:pPr>
            <w:r>
              <w:t xml:space="preserve">kgCO2e/unit</w:t>
            </w:r>
          </w:p>
        </w:tc>
        <w:tc>
          <w:tcPr/>
          <w:p>
            <w:pPr>
              <w:pStyle w:val="Compact"/>
              <w:jc w:val="left"/>
            </w:pPr>
            <w:r>
              <w:t xml:space="preserve">Generic Estimate (High-tech)</w:t>
            </w:r>
          </w:p>
        </w:tc>
      </w:tr>
      <w:tr>
        <w:tc>
          <w:tcPr/>
          <w:p>
            <w:pPr>
              <w:pStyle w:val="Compact"/>
              <w:jc w:val="left"/>
            </w:pPr>
            <w:r>
              <w:t xml:space="preserve">Cardboard Production</w:t>
            </w:r>
          </w:p>
        </w:tc>
        <w:tc>
          <w:tcPr/>
          <w:p>
            <w:pPr>
              <w:pStyle w:val="Compact"/>
              <w:jc w:val="left"/>
            </w:pPr>
            <w:r>
              <w:t xml:space="preserve">1.0</w:t>
            </w:r>
          </w:p>
        </w:tc>
        <w:tc>
          <w:tcPr/>
          <w:p>
            <w:pPr>
              <w:pStyle w:val="Compact"/>
              <w:jc w:val="left"/>
            </w:pPr>
            <w:r>
              <w:t xml:space="preserve">kgCO2e/kg</w:t>
            </w:r>
          </w:p>
        </w:tc>
        <w:tc>
          <w:tcPr/>
          <w:p>
            <w:pPr>
              <w:pStyle w:val="Compact"/>
              <w:jc w:val="left"/>
            </w:pPr>
            <w:r>
              <w:t xml:space="preserve">Generic Industry Average</w:t>
            </w:r>
          </w:p>
        </w:tc>
      </w:tr>
      <w:tr>
        <w:tc>
          <w:tcPr/>
          <w:p>
            <w:pPr>
              <w:pStyle w:val="Compact"/>
              <w:jc w:val="left"/>
            </w:pPr>
            <w:r>
              <w:t xml:space="preserve">Electricity (China Grid)</w:t>
            </w:r>
          </w:p>
        </w:tc>
        <w:tc>
          <w:tcPr/>
          <w:p>
            <w:pPr>
              <w:pStyle w:val="Compact"/>
              <w:jc w:val="left"/>
            </w:pPr>
            <w:r>
              <w:t xml:space="preserve">0.55</w:t>
            </w:r>
          </w:p>
        </w:tc>
        <w:tc>
          <w:tcPr/>
          <w:p>
            <w:pPr>
              <w:pStyle w:val="Compact"/>
              <w:jc w:val="left"/>
            </w:pPr>
            <w:r>
              <w:t xml:space="preserve">kgCO2e/kWh</w:t>
            </w:r>
          </w:p>
        </w:tc>
        <w:tc>
          <w:tcPr/>
          <w:p>
            <w:pPr>
              <w:pStyle w:val="Compact"/>
              <w:jc w:val="left"/>
            </w:pPr>
            <w:r>
              <w:t xml:space="preserve">IEA, Climatiq (e.g.,)</w:t>
            </w:r>
          </w:p>
        </w:tc>
      </w:tr>
      <w:tr>
        <w:tc>
          <w:tcPr/>
          <w:p>
            <w:pPr>
              <w:pStyle w:val="Compact"/>
              <w:jc w:val="left"/>
            </w:pPr>
            <w:r>
              <w:t xml:space="preserve">Electricity (Europe Average)</w:t>
            </w:r>
          </w:p>
        </w:tc>
        <w:tc>
          <w:tcPr/>
          <w:p>
            <w:pPr>
              <w:pStyle w:val="Compact"/>
              <w:jc w:val="left"/>
            </w:pPr>
            <w:r>
              <w:t xml:space="preserve">0.25</w:t>
            </w:r>
          </w:p>
        </w:tc>
        <w:tc>
          <w:tcPr/>
          <w:p>
            <w:pPr>
              <w:pStyle w:val="Compact"/>
              <w:jc w:val="left"/>
            </w:pPr>
            <w:r>
              <w:t xml:space="preserve">kgCO2e/kWh</w:t>
            </w:r>
          </w:p>
        </w:tc>
        <w:tc>
          <w:tcPr/>
          <w:p>
            <w:pPr>
              <w:pStyle w:val="Compact"/>
              <w:jc w:val="left"/>
            </w:pPr>
            <w:r>
              <w:t xml:space="preserve">IEA (e.g.,)</w:t>
            </w:r>
          </w:p>
        </w:tc>
      </w:tr>
      <w:tr>
        <w:tc>
          <w:tcPr/>
          <w:p>
            <w:pPr>
              <w:pStyle w:val="Compact"/>
              <w:jc w:val="left"/>
            </w:pPr>
            <w:r>
              <w:t xml:space="preserve">Road Freight</w:t>
            </w:r>
          </w:p>
        </w:tc>
        <w:tc>
          <w:tcPr/>
          <w:p>
            <w:pPr>
              <w:pStyle w:val="Compact"/>
              <w:jc w:val="left"/>
            </w:pPr>
            <w:r>
              <w:t xml:space="preserve">0.062</w:t>
            </w:r>
          </w:p>
        </w:tc>
        <w:tc>
          <w:tcPr/>
          <w:p>
            <w:pPr>
              <w:pStyle w:val="Compact"/>
              <w:jc w:val="left"/>
            </w:pPr>
            <w:r>
              <w:t xml:space="preserve">kgCO2e/tkm</w:t>
            </w:r>
          </w:p>
        </w:tc>
        <w:tc>
          <w:tcPr/>
          <w:p>
            <w:pPr>
              <w:pStyle w:val="Compact"/>
              <w:jc w:val="left"/>
            </w:pPr>
            <w:r>
              <w:t xml:space="preserve">McKinnon, Gold Standard (e.g.,)</w:t>
            </w:r>
          </w:p>
        </w:tc>
      </w:tr>
      <w:tr>
        <w:tc>
          <w:tcPr/>
          <w:p>
            <w:pPr>
              <w:pStyle w:val="Compact"/>
              <w:jc w:val="left"/>
            </w:pPr>
            <w:r>
              <w:t xml:space="preserve">Landfill (Plastic)</w:t>
            </w:r>
          </w:p>
        </w:tc>
        <w:tc>
          <w:tcPr/>
          <w:p>
            <w:pPr>
              <w:pStyle w:val="Compact"/>
              <w:jc w:val="left"/>
            </w:pPr>
            <w:r>
              <w:t xml:space="preserve">0.05</w:t>
            </w:r>
          </w:p>
        </w:tc>
        <w:tc>
          <w:tcPr/>
          <w:p>
            <w:pPr>
              <w:pStyle w:val="Compact"/>
              <w:jc w:val="left"/>
            </w:pPr>
            <w:r>
              <w:t xml:space="preserve">kgCO2e/kg</w:t>
            </w:r>
          </w:p>
        </w:tc>
        <w:tc>
          <w:tcPr/>
          <w:p>
            <w:pPr>
              <w:pStyle w:val="Compact"/>
              <w:jc w:val="left"/>
            </w:pPr>
            <w:r>
              <w:t xml:space="preserve">EPA WARM, Terrascope (e.g.,)</w:t>
            </w:r>
          </w:p>
        </w:tc>
      </w:tr>
      <w:tr>
        <w:tc>
          <w:tcPr/>
          <w:p>
            <w:pPr>
              <w:pStyle w:val="Compact"/>
              <w:jc w:val="left"/>
            </w:pPr>
            <w:r>
              <w:t xml:space="preserve">Recycling Avoided Emissions (Plastic)</w:t>
            </w:r>
          </w:p>
        </w:tc>
        <w:tc>
          <w:tcPr/>
          <w:p>
            <w:pPr>
              <w:pStyle w:val="Compact"/>
              <w:jc w:val="left"/>
            </w:pPr>
            <w:r>
              <w:t xml:space="preserve">-1.5</w:t>
            </w:r>
          </w:p>
        </w:tc>
        <w:tc>
          <w:tcPr/>
          <w:p>
            <w:pPr>
              <w:pStyle w:val="Compact"/>
              <w:jc w:val="left"/>
            </w:pPr>
            <w:r>
              <w:t xml:space="preserve">kgCO2e/kg</w:t>
            </w:r>
          </w:p>
        </w:tc>
        <w:tc>
          <w:tcPr/>
          <w:p>
            <w:pPr>
              <w:pStyle w:val="Compact"/>
              <w:jc w:val="left"/>
            </w:pPr>
            <w:r>
              <w:t xml:space="preserve">EPA WARM, ALPLA (e.g.,)</w:t>
            </w:r>
          </w:p>
        </w:tc>
      </w:tr>
    </w:tbl>
    <w:bookmarkEnd w:id="34"/>
    <w:bookmarkStart w:id="35" w:name="scope-1-emissions-direct-emissions"/>
    <w:p>
      <w:pPr>
        <w:pStyle w:val="Heading3"/>
      </w:pPr>
      <w:r>
        <w:t xml:space="preserve">3.2. Scope 1 Emissions (Direct Emissions)</w:t>
      </w:r>
    </w:p>
    <w:p>
      <w:pPr>
        <w:pStyle w:val="FirstParagraph"/>
      </w:pPr>
      <w:r>
        <w:t xml:space="preserve">For a product PCF at the \'factory_gate\' boundary, Scope 1 emissions typically account for direct GHG releases from on-site fuel combustion (e.g., boilers, owned vehicles) or process emissions (e.g., chemical reactions, fugitive emissions). As no specific direct operational data was provided for ynlrekkqti\'s production of jqujjxrmge, illustrative Scope 1 emissions are assumed to be negligible or covered within the Scope 2 energy calculations for purchased electricity for process energy. If direct fuel consumption or process emissions were present, they would be quantified here.</w:t>
      </w:r>
    </w:p>
    <w:p>
      <w:pPr>
        <w:pStyle w:val="BodyText"/>
      </w:pPr>
      <w:r>
        <w:rPr>
          <w:bCs/>
          <w:b/>
        </w:rPr>
        <w:t xml:space="preserve">Illustrative Scope 1 Emissions: 0.00 kgCO2e/unit</w:t>
      </w:r>
    </w:p>
    <w:bookmarkEnd w:id="35"/>
    <w:bookmarkStart w:id="36" w:name="scope-2-emissions-purchased-energy"/>
    <w:p>
      <w:pPr>
        <w:pStyle w:val="Heading3"/>
      </w:pPr>
      <w:r>
        <w:t xml:space="preserve">3.3. Scope 2 Emissions (Purchased Energy)</w:t>
      </w:r>
    </w:p>
    <w:p>
      <w:pPr>
        <w:pStyle w:val="FirstParagraph"/>
      </w:pPr>
      <w:r>
        <w:t xml:space="preserve">These emissions arise from the generation of purchased electricity for the manufacturing process in China.</w:t>
      </w:r>
    </w:p>
    <w:p>
      <w:pPr>
        <w:numPr>
          <w:ilvl w:val="0"/>
          <w:numId w:val="1008"/>
        </w:numPr>
        <w:pStyle w:val="Compact"/>
      </w:pPr>
      <w:r>
        <w:t xml:space="preserve">Illustrative Energy Intensity: 10 kWh/unit</w:t>
      </w:r>
    </w:p>
    <w:p>
      <w:pPr>
        <w:numPr>
          <w:ilvl w:val="0"/>
          <w:numId w:val="1008"/>
        </w:numPr>
        <w:pStyle w:val="Compact"/>
      </w:pPr>
      <w:r>
        <w:t xml:space="preserve">Illustrative Renewable Energy Usage: 30%</w:t>
      </w:r>
    </w:p>
    <w:p>
      <w:pPr>
        <w:numPr>
          <w:ilvl w:val="0"/>
          <w:numId w:val="1008"/>
        </w:numPr>
        <w:pStyle w:val="Compact"/>
      </w:pPr>
      <w:r>
        <w:t xml:space="preserve">Illustrative Non-renewable electricity: 10 kWh/unit * (1 - 0.30) = 7 kWh/unit</w:t>
      </w:r>
    </w:p>
    <w:p>
      <w:pPr>
        <w:numPr>
          <w:ilvl w:val="0"/>
          <w:numId w:val="1008"/>
        </w:numPr>
        <w:pStyle w:val="Compact"/>
      </w:pPr>
      <w:r>
        <w:t xml:space="preserve">Illustrative China Grid Emission Factor: 0.55 kgCO2e/kWh</w:t>
      </w:r>
    </w:p>
    <w:p>
      <w:pPr>
        <w:numPr>
          <w:ilvl w:val="0"/>
          <w:numId w:val="1008"/>
        </w:numPr>
        <w:pStyle w:val="Compact"/>
      </w:pPr>
      <w:r>
        <w:rPr>
          <w:bCs/>
          <w:b/>
        </w:rPr>
        <w:t xml:space="preserve">Illustrative Calculation:</w:t>
      </w:r>
      <w:r>
        <w:t xml:space="preserve"> </w:t>
      </w:r>
      <w:r>
        <w:t xml:space="preserve">7 kWh/unit * 0.55 kgCO2e/kWh = 3.85 kgCO2e/unit</w:t>
      </w:r>
    </w:p>
    <w:p>
      <w:pPr>
        <w:pStyle w:val="FirstParagraph"/>
      </w:pPr>
      <w:r>
        <w:rPr>
          <w:bCs/>
          <w:b/>
        </w:rPr>
        <w:t xml:space="preserve">Illustrative Scope 2 Emissions: 3.85 kgCO2e/unit</w:t>
      </w:r>
    </w:p>
    <w:bookmarkEnd w:id="36"/>
    <w:bookmarkStart w:id="39" w:name="scope-3-emissions-value-chain-emissions"/>
    <w:p>
      <w:pPr>
        <w:pStyle w:val="Heading3"/>
      </w:pPr>
      <w:r>
        <w:t xml:space="preserve">3.4. Scope 3 Emissions (Value Chain Emissions)</w:t>
      </w:r>
    </w:p>
    <w:p>
      <w:pPr>
        <w:pStyle w:val="FirstParagraph"/>
      </w:pPr>
      <w:r>
        <w:t xml:space="preserve">Scope 3 emissions are typically the most significant for a product\'s carbon footprint, often accounting for 70-90% of the total. This analysis aims for high coverage by including key upstream and downstream categories.</w:t>
      </w:r>
    </w:p>
    <w:bookmarkStart w:id="37" w:name="X23f99da20eda0716ecf0104e6f1110818fb0bad"/>
    <w:p>
      <w:pPr>
        <w:pStyle w:val="Heading4"/>
      </w:pPr>
      <w:r>
        <w:t xml:space="preserve">3.4.1. Upstream Emissions (Purchased Goods and Services, Upstream Transportation)</w:t>
      </w:r>
    </w:p>
    <w:p>
      <w:pPr>
        <w:numPr>
          <w:ilvl w:val="0"/>
          <w:numId w:val="1009"/>
        </w:numPr>
        <w:pStyle w:val="Compact"/>
      </w:pPr>
      <w:r>
        <w:rPr>
          <w:bCs/>
          <w:b/>
        </w:rPr>
        <w:t xml:space="preserve">Materials (from Illustrative BOM):</w:t>
      </w:r>
      <w:r>
        <w:t xml:space="preserve"> </w:t>
      </w:r>
      <w:r>
        <w:t xml:space="preserve">Sum of \'Illustrative Total Carbon\' = 2.40 + 0.27 + 0.04 + 1.00 + 0.15 = 3.86 kgCO2e/unit</w:t>
      </w:r>
    </w:p>
    <w:p>
      <w:pPr>
        <w:numPr>
          <w:ilvl w:val="0"/>
          <w:numId w:val="1009"/>
        </w:numPr>
        <w:pStyle w:val="Compact"/>
      </w:pPr>
      <w:r>
        <w:rPr>
          <w:bCs/>
          <w:b/>
        </w:rPr>
        <w:t xml:space="preserve">Upstream Transport (Illustrative):</w:t>
      </w:r>
    </w:p>
    <w:p>
      <w:pPr>
        <w:numPr>
          <w:ilvl w:val="1"/>
          <w:numId w:val="1010"/>
        </w:numPr>
        <w:pStyle w:val="Compact"/>
      </w:pPr>
      <w:r>
        <w:t xml:space="preserve">Product Weight (Illustrative): 1.5 kg (sum of illustrative material quantities excluding packaging: 0.8+0.2+0.1+0.05+0.15 = 1.3kg, assuming total product weight approx 1.5kg for transport)</w:t>
      </w:r>
    </w:p>
    <w:p>
      <w:pPr>
        <w:numPr>
          <w:ilvl w:val="1"/>
          <w:numId w:val="1010"/>
        </w:numPr>
        <w:pStyle w:val="Compact"/>
      </w:pPr>
      <w:r>
        <w:t xml:space="preserve">Illustrative Distance: 1000 km</w:t>
      </w:r>
    </w:p>
    <w:p>
      <w:pPr>
        <w:numPr>
          <w:ilvl w:val="1"/>
          <w:numId w:val="1010"/>
        </w:numPr>
        <w:pStyle w:val="Compact"/>
      </w:pPr>
      <w:r>
        <w:t xml:space="preserve">Illustrative Transport Mode: Road freight (0.062 kgCO2e/tkm)</w:t>
      </w:r>
    </w:p>
    <w:p>
      <w:pPr>
        <w:numPr>
          <w:ilvl w:val="1"/>
          <w:numId w:val="1010"/>
        </w:numPr>
        <w:pStyle w:val="Compact"/>
      </w:pPr>
      <w:r>
        <w:rPr>
          <w:bCs/>
          <w:b/>
        </w:rPr>
        <w:t xml:space="preserve">Illustrative Calculation:</w:t>
      </w:r>
      <w:r>
        <w:t xml:space="preserve"> </w:t>
      </w:r>
      <w:r>
        <w:t xml:space="preserve">(1.5 kg / 1000 kg/tonne) * 1000 km * 0.062 kgCO2e/tkm = 0.093 kgCO2e/unit</w:t>
      </w:r>
    </w:p>
    <w:p>
      <w:pPr>
        <w:numPr>
          <w:ilvl w:val="0"/>
          <w:numId w:val="1009"/>
        </w:numPr>
        <w:pStyle w:val="Compact"/>
      </w:pPr>
      <w:r>
        <w:rPr>
          <w:bCs/>
          <w:b/>
        </w:rPr>
        <w:t xml:space="preserve">Total Illustrative Upstream Emissions:</w:t>
      </w:r>
      <w:r>
        <w:t xml:space="preserve"> </w:t>
      </w:r>
      <w:r>
        <w:t xml:space="preserve">3.86 kgCO2e/unit + 0.093 kgCO2e/unit = 3.953 kgCO2e/unit</w:t>
      </w:r>
    </w:p>
    <w:bookmarkEnd w:id="37"/>
    <w:bookmarkStart w:id="38" w:name="Xcffd8201dcf81340428e3bef3eddaf832937279"/>
    <w:p>
      <w:pPr>
        <w:pStyle w:val="Heading4"/>
      </w:pPr>
      <w:r>
        <w:t xml:space="preserve">3.4.2. Downstream Emissions (Use Phase, End-of-Life Treatment)</w:t>
      </w:r>
    </w:p>
    <w:p>
      <w:pPr>
        <w:numPr>
          <w:ilvl w:val="0"/>
          <w:numId w:val="1011"/>
        </w:numPr>
        <w:pStyle w:val="Compact"/>
      </w:pPr>
      <w:r>
        <w:rPr>
          <w:bCs/>
          <w:b/>
        </w:rPr>
        <w:t xml:space="preserve">Use Phase (Illustrative):</w:t>
      </w:r>
    </w:p>
    <w:p>
      <w:pPr>
        <w:numPr>
          <w:ilvl w:val="1"/>
          <w:numId w:val="1012"/>
        </w:numPr>
        <w:pStyle w:val="Compact"/>
      </w:pPr>
      <w:r>
        <w:t xml:space="preserve">Illustrative Product Lifespan: 3 years</w:t>
      </w:r>
    </w:p>
    <w:p>
      <w:pPr>
        <w:numPr>
          <w:ilvl w:val="1"/>
          <w:numId w:val="1012"/>
        </w:numPr>
        <w:pStyle w:val="Compact"/>
      </w:pPr>
      <w:r>
        <w:t xml:space="preserve">Illustrative Energy Consumption in Use: 5 kWh/year</w:t>
      </w:r>
    </w:p>
    <w:p>
      <w:pPr>
        <w:numPr>
          <w:ilvl w:val="1"/>
          <w:numId w:val="1012"/>
        </w:numPr>
        <w:pStyle w:val="Compact"/>
      </w:pPr>
      <w:r>
        <w:t xml:space="preserve">Illustrative Europe Grid Emission Factor: 0.25 kgCO2e/kWh</w:t>
      </w:r>
    </w:p>
    <w:p>
      <w:pPr>
        <w:numPr>
          <w:ilvl w:val="1"/>
          <w:numId w:val="1012"/>
        </w:numPr>
        <w:pStyle w:val="Compact"/>
      </w:pPr>
      <w:r>
        <w:rPr>
          <w:bCs/>
          <w:b/>
        </w:rPr>
        <w:t xml:space="preserve">Illustrative Calculation:</w:t>
      </w:r>
      <w:r>
        <w:t xml:space="preserve"> </w:t>
      </w:r>
      <w:r>
        <w:t xml:space="preserve">3 years * 5 kWh/year * 0.25 kgCO2e/kWh = 3.75 kgCO2e/unit</w:t>
      </w:r>
    </w:p>
    <w:p>
      <w:pPr>
        <w:numPr>
          <w:ilvl w:val="0"/>
          <w:numId w:val="1011"/>
        </w:numPr>
        <w:pStyle w:val="Compact"/>
      </w:pPr>
      <w:r>
        <w:rPr>
          <w:bCs/>
          <w:b/>
        </w:rPr>
        <w:t xml:space="preserve">End-of-Life (EoL) (Illustrative):</w:t>
      </w:r>
    </w:p>
    <w:p>
      <w:pPr>
        <w:numPr>
          <w:ilvl w:val="1"/>
          <w:numId w:val="1013"/>
        </w:numPr>
        <w:pStyle w:val="Compact"/>
      </w:pPr>
      <w:r>
        <w:t xml:space="preserve">Illustrative Product Weight at EoL: 1.5 kg</w:t>
      </w:r>
    </w:p>
    <w:p>
      <w:pPr>
        <w:numPr>
          <w:ilvl w:val="1"/>
          <w:numId w:val="1013"/>
        </w:numPr>
        <w:pStyle w:val="Compact"/>
      </w:pPr>
      <w:r>
        <w:t xml:space="preserve">Illustrative Recyclability Percentage: 80%</w:t>
      </w:r>
    </w:p>
    <w:p>
      <w:pPr>
        <w:numPr>
          <w:ilvl w:val="1"/>
          <w:numId w:val="1013"/>
        </w:numPr>
        <w:pStyle w:val="Compact"/>
      </w:pPr>
      <w:r>
        <w:t xml:space="preserve">Illustrative Disposal (Landfill): (1 - 0.80) * 1.5 kg * 0.05 kgCO2e/kg = 0.020 kgCO2e/unit</w:t>
      </w:r>
    </w:p>
    <w:p>
      <w:pPr>
        <w:numPr>
          <w:ilvl w:val="1"/>
          <w:numId w:val="1013"/>
        </w:numPr>
        <w:pStyle w:val="Compact"/>
      </w:pPr>
      <w:r>
        <w:t xml:space="preserve">Illustrative Recycling (Avoided Emissions): 0.80 * 1.5 kg * (-1.5 kgCO2e/kg) = -1.80 kgCO2e/unit</w:t>
      </w:r>
    </w:p>
    <w:p>
      <w:pPr>
        <w:numPr>
          <w:ilvl w:val="1"/>
          <w:numId w:val="1013"/>
        </w:numPr>
        <w:pStyle w:val="Compact"/>
      </w:pPr>
      <w:r>
        <w:rPr>
          <w:bCs/>
          <w:b/>
        </w:rPr>
        <w:t xml:space="preserve">Total Illustrative EoL Emissions:</w:t>
      </w:r>
      <w:r>
        <w:t xml:space="preserve"> </w:t>
      </w:r>
      <w:r>
        <w:t xml:space="preserve">0.020 kgCO2e/unit - 1.80 kgCO2e/unit = -1.78 kgCO2e/unit</w:t>
      </w:r>
    </w:p>
    <w:p>
      <w:pPr>
        <w:numPr>
          <w:ilvl w:val="0"/>
          <w:numId w:val="1011"/>
        </w:numPr>
        <w:pStyle w:val="Compact"/>
      </w:pPr>
      <w:r>
        <w:rPr>
          <w:bCs/>
          <w:b/>
        </w:rPr>
        <w:t xml:space="preserve">Total Illustrative Downstream Emissions:</w:t>
      </w:r>
      <w:r>
        <w:t xml:space="preserve"> </w:t>
      </w:r>
      <w:r>
        <w:t xml:space="preserve">3.75 kgCO2e/unit + (-1.78 kgCO2e/unit) = 1.97 kgCO2e/unit</w:t>
      </w:r>
    </w:p>
    <w:p>
      <w:pPr>
        <w:pStyle w:val="FirstParagraph"/>
      </w:pPr>
      <w:r>
        <w:rPr>
          <w:bCs/>
          <w:b/>
        </w:rPr>
        <w:t xml:space="preserve">Total Illustrative Scope 3 Emissions:</w:t>
      </w:r>
      <w:r>
        <w:t xml:space="preserve"> </w:t>
      </w:r>
      <w:r>
        <w:t xml:space="preserve">3.953 kgCO2e/unit + 1.97 kgCO2e/unit = 5.923 kgCO2e/unit</w:t>
      </w:r>
    </w:p>
    <w:bookmarkEnd w:id="38"/>
    <w:bookmarkEnd w:id="39"/>
    <w:bookmarkStart w:id="42" w:name="X7b732594ad1e62b04d30429adb3681e2e5a105b"/>
    <w:p>
      <w:pPr>
        <w:pStyle w:val="Heading3"/>
      </w:pPr>
      <w:r>
        <w:t xml:space="preserve">3.5. Overall Product Carbon Footprint Summary (Illustrative)</w:t>
      </w:r>
    </w:p>
    <w:p>
      <w:pPr>
        <w:pStyle w:val="FirstParagraph"/>
      </w:pPr>
      <w:r>
        <w:t xml:space="preserve">Based on the illustrative data and calculations, the total Product Carbon Footprint for one functional unit of jqujjxrmge is:</w:t>
      </w:r>
    </w:p>
    <w:p>
      <w:pPr>
        <w:pStyle w:val="BodyText"/>
      </w:pPr>
      <w:r>
        <w:rPr>
          <w:bCs/>
          <w:b/>
        </w:rPr>
        <w:t xml:space="preserve">Total Illustrative PCF = Scope 1 + Scope 2 + Scope 3 = 0.00 + 3.85 + 5.923 = 9.773 kgCO2e/unit</w:t>
      </w:r>
    </w:p>
    <w:bookmarkStart w:id="40" w:name="illustrative-pcf-breakdown-by-scope"/>
    <w:p>
      <w:pPr>
        <w:pStyle w:val="Heading4"/>
      </w:pPr>
      <w:r>
        <w:t xml:space="preserve">Illustrative PCF Breakdown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(kgCO2e/unit)</w:t>
            </w:r>
          </w:p>
        </w:tc>
        <w:tc>
          <w:tcPr/>
          <w:p>
            <w:pPr>
              <w:pStyle w:val="Compact"/>
              <w:jc w:val="left"/>
            </w:pPr>
            <w:r>
              <w:t xml:space="preserve">Percentage of Total (%)</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3.85</w:t>
            </w:r>
          </w:p>
        </w:tc>
        <w:tc>
          <w:tcPr/>
          <w:p>
            <w:pPr>
              <w:pStyle w:val="Compact"/>
              <w:jc w:val="left"/>
            </w:pPr>
            <w:r>
              <w:t xml:space="preserve">39.4%</w:t>
            </w:r>
          </w:p>
        </w:tc>
      </w:tr>
      <w:tr>
        <w:tc>
          <w:tcPr/>
          <w:p>
            <w:pPr>
              <w:pStyle w:val="Compact"/>
              <w:jc w:val="left"/>
            </w:pPr>
            <w:r>
              <w:t xml:space="preserve">Scope 3 (Value Chain)</w:t>
            </w:r>
          </w:p>
        </w:tc>
        <w:tc>
          <w:tcPr/>
          <w:p>
            <w:pPr>
              <w:pStyle w:val="Compact"/>
              <w:jc w:val="left"/>
            </w:pPr>
            <w:r>
              <w:t xml:space="preserve">5.923</w:t>
            </w:r>
          </w:p>
        </w:tc>
        <w:tc>
          <w:tcPr/>
          <w:p>
            <w:pPr>
              <w:pStyle w:val="Compact"/>
              <w:jc w:val="left"/>
            </w:pPr>
            <w:r>
              <w:t xml:space="preserve">60.6%</w:t>
            </w:r>
          </w:p>
        </w:tc>
      </w:tr>
      <w:tr>
        <w:tc>
          <w:tcPr/>
          <w:p>
            <w:pPr>
              <w:pStyle w:val="Compact"/>
              <w:jc w:val="left"/>
            </w:pPr>
            <w:r>
              <w:rPr>
                <w:bCs/>
                <w:b/>
              </w:rPr>
              <w:t xml:space="preserve">Total PCF</w:t>
            </w:r>
          </w:p>
        </w:tc>
        <w:tc>
          <w:tcPr/>
          <w:p>
            <w:pPr>
              <w:pStyle w:val="Compact"/>
              <w:jc w:val="left"/>
            </w:pPr>
            <w:r>
              <w:rPr>
                <w:bCs/>
                <w:b/>
              </w:rPr>
              <w:t xml:space="preserve">9.773</w:t>
            </w:r>
          </w:p>
        </w:tc>
        <w:tc>
          <w:tcPr/>
          <w:p>
            <w:pPr>
              <w:pStyle w:val="Compact"/>
              <w:jc w:val="left"/>
            </w:pPr>
            <w:r>
              <w:rPr>
                <w:bCs/>
                <w:b/>
              </w:rPr>
              <w:t xml:space="preserve">100.0%</w:t>
            </w:r>
          </w:p>
        </w:tc>
      </w:tr>
    </w:tbl>
    <w:bookmarkEnd w:id="40"/>
    <w:bookmarkStart w:id="41" w:name="Xd730dc015e694021b9af855f58076ba8c73eefe"/>
    <w:p>
      <w:pPr>
        <w:pStyle w:val="Heading4"/>
      </w:pPr>
      <w:r>
        <w:t xml:space="preserve">Illustrative PCF Breakdown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Emissions (kgCO2e/unit)</w:t>
            </w:r>
          </w:p>
        </w:tc>
        <w:tc>
          <w:tcPr/>
          <w:p>
            <w:pPr>
              <w:pStyle w:val="Compact"/>
              <w:jc w:val="left"/>
            </w:pPr>
            <w:r>
              <w:t xml:space="preserve">GHG Scope(s)</w:t>
            </w:r>
          </w:p>
        </w:tc>
      </w:tr>
      <w:tr>
        <w:tc>
          <w:tcPr/>
          <w:p>
            <w:pPr>
              <w:pStyle w:val="Compact"/>
              <w:jc w:val="left"/>
            </w:pPr>
            <w:r>
              <w:t xml:space="preserve">Materials Acquisition &amp; Pre-processing</w:t>
            </w:r>
          </w:p>
        </w:tc>
        <w:tc>
          <w:tcPr/>
          <w:p>
            <w:pPr>
              <w:pStyle w:val="Compact"/>
              <w:jc w:val="left"/>
            </w:pPr>
            <w:r>
              <w:t xml:space="preserve">3.86</w:t>
            </w:r>
          </w:p>
        </w:tc>
        <w:tc>
          <w:tcPr/>
          <w:p>
            <w:pPr>
              <w:pStyle w:val="Compact"/>
              <w:jc w:val="left"/>
            </w:pPr>
            <w:r>
              <w:t xml:space="preserve">Scope 3</w:t>
            </w:r>
          </w:p>
        </w:tc>
      </w:tr>
      <w:tr>
        <w:tc>
          <w:tcPr/>
          <w:p>
            <w:pPr>
              <w:pStyle w:val="Compact"/>
              <w:jc w:val="left"/>
            </w:pPr>
            <w:r>
              <w:t xml:space="preserve">Manufacturing (Electricity)</w:t>
            </w:r>
          </w:p>
        </w:tc>
        <w:tc>
          <w:tcPr/>
          <w:p>
            <w:pPr>
              <w:pStyle w:val="Compact"/>
              <w:jc w:val="left"/>
            </w:pPr>
            <w:r>
              <w:t xml:space="preserve">3.85</w:t>
            </w:r>
          </w:p>
        </w:tc>
        <w:tc>
          <w:tcPr/>
          <w:p>
            <w:pPr>
              <w:pStyle w:val="Compact"/>
              <w:jc w:val="left"/>
            </w:pPr>
            <w:r>
              <w:t xml:space="preserve">Scope 2</w:t>
            </w:r>
          </w:p>
        </w:tc>
      </w:tr>
      <w:tr>
        <w:tc>
          <w:tcPr/>
          <w:p>
            <w:pPr>
              <w:pStyle w:val="Compact"/>
              <w:jc w:val="left"/>
            </w:pPr>
            <w:r>
              <w:t xml:space="preserve">Transport (Upstream)</w:t>
            </w:r>
          </w:p>
        </w:tc>
        <w:tc>
          <w:tcPr/>
          <w:p>
            <w:pPr>
              <w:pStyle w:val="Compact"/>
              <w:jc w:val="left"/>
            </w:pPr>
            <w:r>
              <w:t xml:space="preserve">0.093</w:t>
            </w:r>
          </w:p>
        </w:tc>
        <w:tc>
          <w:tcPr/>
          <w:p>
            <w:pPr>
              <w:pStyle w:val="Compact"/>
              <w:jc w:val="left"/>
            </w:pPr>
            <w:r>
              <w:t xml:space="preserve">Scope 3</w:t>
            </w:r>
          </w:p>
        </w:tc>
      </w:tr>
      <w:tr>
        <w:tc>
          <w:tcPr/>
          <w:p>
            <w:pPr>
              <w:pStyle w:val="Compact"/>
              <w:jc w:val="left"/>
            </w:pPr>
            <w:r>
              <w:t xml:space="preserve">Use Phase</w:t>
            </w:r>
          </w:p>
        </w:tc>
        <w:tc>
          <w:tcPr/>
          <w:p>
            <w:pPr>
              <w:pStyle w:val="Compact"/>
              <w:jc w:val="left"/>
            </w:pPr>
            <w:r>
              <w:t xml:space="preserve">3.75</w:t>
            </w:r>
          </w:p>
        </w:tc>
        <w:tc>
          <w:tcPr/>
          <w:p>
            <w:pPr>
              <w:pStyle w:val="Compact"/>
              <w:jc w:val="left"/>
            </w:pPr>
            <w:r>
              <w:t xml:space="preserve">Scope 3</w:t>
            </w:r>
          </w:p>
        </w:tc>
      </w:tr>
      <w:tr>
        <w:tc>
          <w:tcPr/>
          <w:p>
            <w:pPr>
              <w:pStyle w:val="Compact"/>
              <w:jc w:val="left"/>
            </w:pPr>
            <w:r>
              <w:t xml:space="preserve">End-of-Life (Net)</w:t>
            </w:r>
          </w:p>
        </w:tc>
        <w:tc>
          <w:tcPr/>
          <w:p>
            <w:pPr>
              <w:pStyle w:val="Compact"/>
              <w:jc w:val="left"/>
            </w:pPr>
            <w:r>
              <w:t xml:space="preserve">-1.78</w:t>
            </w:r>
          </w:p>
        </w:tc>
        <w:tc>
          <w:tcPr/>
          <w:p>
            <w:pPr>
              <w:pStyle w:val="Compact"/>
              <w:jc w:val="left"/>
            </w:pPr>
            <w:r>
              <w:t xml:space="preserve">Scope 3</w:t>
            </w:r>
          </w:p>
        </w:tc>
      </w:tr>
      <w:tr>
        <w:tc>
          <w:tcPr/>
          <w:p>
            <w:pPr>
              <w:pStyle w:val="Compact"/>
              <w:jc w:val="left"/>
            </w:pPr>
            <w:r>
              <w:rPr>
                <w:bCs/>
                <w:b/>
              </w:rPr>
              <w:t xml:space="preserve">Total PCF</w:t>
            </w:r>
          </w:p>
        </w:tc>
        <w:tc>
          <w:tcPr/>
          <w:p>
            <w:pPr>
              <w:pStyle w:val="Compact"/>
              <w:jc w:val="left"/>
            </w:pPr>
            <w:r>
              <w:rPr>
                <w:bCs/>
                <w:b/>
              </w:rPr>
              <w:t xml:space="preserve">9.773</w:t>
            </w:r>
          </w:p>
        </w:tc>
        <w:tc>
          <w:tcPr/>
          <w:p>
            <w:pPr>
              <w:pStyle w:val="Compact"/>
            </w:pPr>
          </w:p>
        </w:tc>
      </w:tr>
    </w:tbl>
    <w:p>
      <w:r>
        <w:pict>
          <v:rect style="width:0;height:1.5pt" o:hralign="center" o:hrstd="t" o:hr="t"/>
        </w:pict>
      </w:r>
    </w:p>
    <w:bookmarkEnd w:id="41"/>
    <w:bookmarkEnd w:id="42"/>
    <w:bookmarkEnd w:id="43"/>
    <w:bookmarkStart w:id="46" w:name="review-hotspots-reliability"/>
    <w:p>
      <w:pPr>
        <w:pStyle w:val="Heading2"/>
      </w:pPr>
      <w:r>
        <w:t xml:space="preserve">4. Review, Hotspots &amp; Reliability</w:t>
      </w:r>
    </w:p>
    <w:bookmarkStart w:id="44" w:name="emission-hotspots-illustrative"/>
    <w:p>
      <w:pPr>
        <w:pStyle w:val="Heading3"/>
      </w:pPr>
      <w:r>
        <w:t xml:space="preserve">4.1. Emission Hotspots (Illustrative)</w:t>
      </w:r>
    </w:p>
    <w:p>
      <w:pPr>
        <w:pStyle w:val="FirstParagraph"/>
      </w:pPr>
      <w:r>
        <w:t xml:space="preserve">Based on the illustrative analysis, the primary emission hotspots for jqujjxrmge are:</w:t>
      </w:r>
    </w:p>
    <w:p>
      <w:pPr>
        <w:numPr>
          <w:ilvl w:val="0"/>
          <w:numId w:val="1014"/>
        </w:numPr>
        <w:pStyle w:val="Compact"/>
      </w:pPr>
      <w:r>
        <w:rPr>
          <w:bCs/>
          <w:b/>
        </w:rPr>
        <w:t xml:space="preserve">Materials Acquisition &amp; Pre-processing (Scope 3):</w:t>
      </w:r>
      <w:r>
        <w:t xml:space="preserve"> </w:t>
      </w:r>
      <w:r>
        <w:t xml:space="preserve">Representing the largest portion of Scope 3, the production of primary plastic resin and electronic chipsets are significant contributors in our illustrative BOM. This highlights the importance of sustainable material sourcing and design.</w:t>
      </w:r>
    </w:p>
    <w:p>
      <w:pPr>
        <w:numPr>
          <w:ilvl w:val="0"/>
          <w:numId w:val="1014"/>
        </w:numPr>
        <w:pStyle w:val="Compact"/>
      </w:pPr>
      <w:r>
        <w:rPr>
          <w:bCs/>
          <w:b/>
        </w:rPr>
        <w:t xml:space="preserve">Manufacturing Energy (Scope 2):</w:t>
      </w:r>
      <w:r>
        <w:t xml:space="preserve"> </w:t>
      </w:r>
      <w:r>
        <w:t xml:space="preserve">Despite some renewable energy usage, grid electricity in China for manufacturing is a substantial hotspot. This emphasizes the need for increasing renewable energy procurement and energy efficiency at the production facility.</w:t>
      </w:r>
    </w:p>
    <w:p>
      <w:pPr>
        <w:numPr>
          <w:ilvl w:val="0"/>
          <w:numId w:val="1014"/>
        </w:numPr>
        <w:pStyle w:val="Compact"/>
      </w:pPr>
      <w:r>
        <w:rPr>
          <w:bCs/>
          <w:b/>
        </w:rPr>
        <w:t xml:space="preserve">Use Phase (Scope 3):</w:t>
      </w:r>
      <w:r>
        <w:t xml:space="preserve"> </w:t>
      </w:r>
      <w:r>
        <w:t xml:space="preserve">The energy consumption during the product\'s lifespan contributes significantly, especially given the assumed average European grid mix. Improving energy efficiency of the product in use is critical.</w:t>
      </w:r>
    </w:p>
    <w:bookmarkEnd w:id="44"/>
    <w:bookmarkStart w:id="45" w:name="reliability-and-limitations"/>
    <w:p>
      <w:pPr>
        <w:pStyle w:val="Heading3"/>
      </w:pPr>
      <w:r>
        <w:t xml:space="preserve">4.2. Reliability and Limitations</w:t>
      </w:r>
    </w:p>
    <w:p>
      <w:pPr>
        <w:pStyle w:val="FirstParagraph"/>
      </w:pPr>
      <w:r>
        <w:t xml:space="preserve">The reliability of this report is directly tied to the accuracy and completeness of the input data. As many parameters (e.g., txqtdrej, zeuvzdphsj) were provided as placeholders, illustrative values were used. For a definitive PCF, primary, site-specific data for all parameters would be required. The emission factors used are drawn from generally accepted industry databases (e.g., Ecoinvent/DEFRA), but highly specific material and process data would allow for more tailored and precise factors. The 95% Scope 3 coverage target is addressed by focusing on major categories, but a full assessment would involve detailed data collection across all 15 Scope 3 categories as per GHG Protocol guidance.</w:t>
      </w:r>
    </w:p>
    <w:p>
      <w:r>
        <w:pict>
          <v:rect style="width:0;height:1.5pt" o:hralign="center" o:hrstd="t" o:hr="t"/>
        </w:pict>
      </w:r>
    </w:p>
    <w:bookmarkEnd w:id="45"/>
    <w:bookmarkEnd w:id="46"/>
    <w:bookmarkStart w:id="47" w:name="recommendations"/>
    <w:p>
      <w:pPr>
        <w:pStyle w:val="Heading2"/>
      </w:pPr>
      <w:r>
        <w:t xml:space="preserve">5. Recommendations</w:t>
      </w:r>
    </w:p>
    <w:p>
      <w:pPr>
        <w:pStyle w:val="FirstParagraph"/>
      </w:pPr>
      <w:r>
        <w:t xml:space="preserve">To reduce the carbon footprint of jqujjxrmge, ynlrekkqti should consider the following actions:</w:t>
      </w:r>
    </w:p>
    <w:p>
      <w:pPr>
        <w:numPr>
          <w:ilvl w:val="0"/>
          <w:numId w:val="1015"/>
        </w:numPr>
        <w:pStyle w:val="Compact"/>
      </w:pPr>
      <w:r>
        <w:rPr>
          <w:bCs/>
          <w:b/>
        </w:rPr>
        <w:t xml:space="preserve">Material Optimization:</w:t>
      </w:r>
      <w:r>
        <w:t xml:space="preserve"> </w:t>
      </w:r>
      <w:r>
        <w:t xml:space="preserve">Focus on sourcing materials with lower embedded carbon, increasing recycled content (e.g., beyond the illustrative 20% for steel), and exploring bio-based or rapidly renewable materials, particularly for the significant plastic components. Accurate BOM data (txqtdrej) is crucial for this.</w:t>
      </w:r>
    </w:p>
    <w:p>
      <w:pPr>
        <w:numPr>
          <w:ilvl w:val="0"/>
          <w:numId w:val="1015"/>
        </w:numPr>
        <w:pStyle w:val="Compact"/>
      </w:pPr>
      <w:r>
        <w:rPr>
          <w:bCs/>
          <w:b/>
        </w:rPr>
        <w:t xml:space="preserve">Renewable Energy Transition:</w:t>
      </w:r>
      <w:r>
        <w:t xml:space="preserve"> </w:t>
      </w:r>
      <w:r>
        <w:t xml:space="preserve">Accelerate the transition to 100% renewable energy for manufacturing operations in China (beyond the illustrative 30% lzspenlwpo) through on-site generation or purchasing high-quality renewable energy credits/power purchase agreements.</w:t>
      </w:r>
    </w:p>
    <w:p>
      <w:pPr>
        <w:numPr>
          <w:ilvl w:val="0"/>
          <w:numId w:val="1015"/>
        </w:numPr>
        <w:pStyle w:val="Compact"/>
      </w:pPr>
      <w:r>
        <w:rPr>
          <w:bCs/>
          <w:b/>
        </w:rPr>
        <w:t xml:space="preserve">Logistics Efficiency:</w:t>
      </w:r>
      <w:r>
        <w:t xml:space="preserve"> </w:t>
      </w:r>
      <w:r>
        <w:t xml:space="preserve">Optimize transport modes (e.g., shifting from road to rail or sea where feasible), consolidate shipments, and reduce transport distances (zeuvzdphsj) to minimize emissions from upstream and downstream logistics.</w:t>
      </w:r>
    </w:p>
    <w:p>
      <w:pPr>
        <w:numPr>
          <w:ilvl w:val="0"/>
          <w:numId w:val="1015"/>
        </w:numPr>
        <w:pStyle w:val="Compact"/>
      </w:pPr>
      <w:r>
        <w:rPr>
          <w:bCs/>
          <w:b/>
        </w:rPr>
        <w:t xml:space="preserve">Product Energy Efficiency:</w:t>
      </w:r>
      <w:r>
        <w:t xml:space="preserve"> </w:t>
      </w:r>
      <w:r>
        <w:t xml:space="preserve">Enhance the energy efficiency of jqujjxrmge during its use phase (gizmmfeqvp) to reduce downstream emissions, especially given the European market focus.</w:t>
      </w:r>
    </w:p>
    <w:p>
      <w:pPr>
        <w:numPr>
          <w:ilvl w:val="0"/>
          <w:numId w:val="1015"/>
        </w:numPr>
        <w:pStyle w:val="Compact"/>
      </w:pPr>
      <w:r>
        <w:rPr>
          <w:bCs/>
          <w:b/>
        </w:rPr>
        <w:t xml:space="preserve">Circular Economy Integration:</w:t>
      </w:r>
      <w:r>
        <w:t xml:space="preserve"> </w:t>
      </w:r>
      <w:r>
        <w:t xml:space="preserve">Strengthen existing (or implement new) circular/take-back programs (gjtpvmmylp) and maximize recyclability (rffnkiivft) to further reduce end-of-life impacts and realize greater avoided emissions.</w:t>
      </w:r>
    </w:p>
    <w:p>
      <w:pPr>
        <w:numPr>
          <w:ilvl w:val="0"/>
          <w:numId w:val="1015"/>
        </w:numPr>
        <w:pStyle w:val="Compact"/>
      </w:pPr>
      <w:r>
        <w:rPr>
          <w:bCs/>
          <w:b/>
        </w:rPr>
        <w:t xml:space="preserve">Data Collection Enhancement:</w:t>
      </w:r>
      <w:r>
        <w:t xml:space="preserve"> </w:t>
      </w:r>
      <w:r>
        <w:t xml:space="preserve">Prioritize collecting granular, primary data for all parameters (txqtdrej, zeuvzdphsj, Select Mode, Delivery Type, lzspenlwpo, vtnhhgzksd, regjwviokh, gizmmfeqvp, rffnkiivft, gjtpvmmylp) for more precise and actionable PCF results in future assessments.</w:t>
      </w:r>
    </w:p>
    <w:p>
      <w:pPr>
        <w:numPr>
          <w:ilvl w:val="0"/>
          <w:numId w:val="1015"/>
        </w:numPr>
        <w:pStyle w:val="Compact"/>
      </w:pPr>
      <w:r>
        <w:rPr>
          <w:bCs/>
          <w:b/>
        </w:rPr>
        <w:t xml:space="preserve">LSR Standard Application:</w:t>
      </w:r>
      <w:r>
        <w:t xml:space="preserve"> </w:t>
      </w:r>
      <w:r>
        <w:t xml:space="preserve">Actively prepare for the 2027 effective date of the LSR Standard by identifying and collecting relevant land-use data within the product\'s value chain, especially if bio-based materials are used.</w:t>
      </w:r>
    </w:p>
    <w:p>
      <w:r>
        <w:pict>
          <v:rect style="width:0;height:1.5pt" o:hralign="center" o:hrstd="t" o:hr="t"/>
        </w:pict>
      </w:r>
    </w:p>
    <w:bookmarkEnd w:id="47"/>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jqujjxrmge</dc:title>
  <dc:creator/>
  <dc:description>A high-detail Product Carbon Footprint (PCF) analysis report for jqujjxrmge, conducted by Senior Sustainability Consultant lvtjepemgz, adhering to GHG Protocol standards and 2026 LSR updates.</dc:description>
  <dc:language>en</dc:language>
  <cp:keywords/>
  <dcterms:created xsi:type="dcterms:W3CDTF">2026-05-30T16:50:36Z</dcterms:created>
  <dcterms:modified xsi:type="dcterms:W3CDTF">2026-05-30T16:50:36Z</dcterms:modified>
</cp:coreProperties>
</file>

<file path=docProps/custom.xml><?xml version="1.0" encoding="utf-8"?>
<Properties xmlns="http://schemas.openxmlformats.org/officeDocument/2006/custom-properties" xmlns:vt="http://schemas.openxmlformats.org/officeDocument/2006/docPropsVTypes"/>
</file>