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jqoopioget</w:t>
      </w:r>
      <w:r>
        <w:t xml:space="preserve"> </w:t>
      </w:r>
      <w:r>
        <w:t xml:space="preserve">-</w:t>
      </w:r>
      <w:r>
        <w:t xml:space="preserve"> </w:t>
      </w:r>
      <w:r>
        <w:t xml:space="preserve">nrfnmynqqj</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product-jqoopioget"/>
    <w:p>
      <w:pPr>
        <w:pStyle w:val="Heading2"/>
      </w:pPr>
      <w:r>
        <w:t xml:space="preserve">Product: jqoopioget</w:t>
      </w:r>
    </w:p>
    <w:p>
      <w:pPr>
        <w:pStyle w:val="FirstParagraph"/>
      </w:pPr>
      <w:r>
        <w:rPr>
          <w:bCs/>
          <w:b/>
        </w:rPr>
        <w:t xml:space="preserve">Protocol Data (Accounting Standard):</w:t>
      </w:r>
      <w:r>
        <w:t xml:space="preserve"> </w:t>
      </w:r>
      <w:r>
        <w:t xml:space="preserve">GHG Protocol</w:t>
      </w:r>
    </w:p>
    <w:p>
      <w:pPr>
        <w:pStyle w:val="BodyText"/>
      </w:pPr>
      <w:r>
        <w:rPr>
          <w:bCs/>
          <w:b/>
        </w:rPr>
        <w:t xml:space="preserve">Company Name:</w:t>
      </w:r>
      <w:r>
        <w:t xml:space="preserve"> </w:t>
      </w:r>
      <w:r>
        <w:t xml:space="preserve">nrfnmynqqj</w:t>
      </w:r>
    </w:p>
    <w:p>
      <w:pPr>
        <w:pStyle w:val="BodyText"/>
      </w:pPr>
      <w:r>
        <w:rPr>
          <w:bCs/>
          <w:b/>
        </w:rPr>
        <w:t xml:space="preserve">Senior Sustainability Consultant:</w:t>
      </w:r>
      <w:r>
        <w:t xml:space="preserve"> </w:t>
      </w:r>
      <w:r>
        <w:t xml:space="preserve">krhdqpngyy</w:t>
      </w:r>
    </w:p>
    <w:p>
      <w:pPr>
        <w:pStyle w:val="BodyText"/>
      </w:pPr>
      <w:r>
        <w:rPr>
          <w:bCs/>
          <w:b/>
        </w:rPr>
        <w:t xml:space="preserve">Disclaimer:</w:t>
      </w:r>
      <w:r>
        <w:t xml:space="preserve"> </w:t>
      </w:r>
      <w:r>
        <w:t xml:space="preserve">This report is generated based on available data and industry standards. The calculations presented herein are illustrative and intended to demonstrate the methodology and potential impact areas. For a precise and certifiable PCF, primary data collection, specific emission factors for all inputs, and detailed supply chain analysis would be required.</w:t>
      </w:r>
    </w:p>
    <w:bookmarkEnd w:id="20"/>
    <w:bookmarkEnd w:id="21"/>
    <w:bookmarkStart w:id="22" w:name="Xa87d010c1fd868336511b306fbd202996615f12"/>
    <w:p>
      <w:pPr>
        <w:pStyle w:val="Heading1"/>
      </w:pPr>
      <w:r>
        <w:t xml:space="preserve">Product Carbon Footprint Analysis Report</w:t>
      </w:r>
    </w:p>
    <w:p>
      <w:pPr>
        <w:pStyle w:val="FirstParagraph"/>
      </w:pPr>
      <w:r>
        <w:rPr>
          <w:bCs/>
          <w:b/>
        </w:rPr>
        <w:t xml:space="preserve">Generated Date:</w:t>
      </w:r>
      <w:r>
        <w:t xml:space="preserve"> </w:t>
      </w:r>
      <w:r>
        <w:t xml:space="preserve">June 4, 2026</w:t>
      </w:r>
    </w:p>
    <w:p>
      <w:r>
        <w:pict>
          <v:rect style="width:0;height:1.5pt" o:hralign="center" o:hrstd="t" o:hr="t"/>
        </w:pict>
      </w:r>
    </w:p>
    <w:bookmarkEnd w:id="22"/>
    <w:bookmarkStart w:id="23" w:name="executive-summary"/>
    <w:p>
      <w:pPr>
        <w:pStyle w:val="Heading2"/>
      </w:pPr>
      <w:r>
        <w:t xml:space="preserve">Executive Summary</w:t>
      </w:r>
    </w:p>
    <w:p>
      <w:pPr>
        <w:pStyle w:val="FirstParagraph"/>
      </w:pPr>
      <w:r>
        <w:t xml:space="preserve">This report presents a high-detail Product Carbon Footprint (PCF) analysis for \'jqoopioget\', manufactured by \'nrfnmynqqj\', as prepared by Senior Sustainability Consultant \'krhdqpngyy\'. The analysis adheres strictly to the GHG Protocol, incorporating the 2026 Land Sector and Removals (LSR) Standard and targeting over 95% Scope 3 coverage. The primary goal is to quantify the greenhouse gas emissions associated with the product across its lifecycle, identify emission hotspots, and provide insights for decarbonization efforts. The assessment covers material acquisition, manufacturing, transport, use, and end-of-life phases, utilizing a \'factory_gate\' system boundary for the initial production assessment.</w:t>
      </w:r>
    </w:p>
    <w:p>
      <w:r>
        <w:pict>
          <v:rect style="width:0;height:1.5pt" o:hralign="center" o:hrstd="t" o:hr="t"/>
        </w:pict>
      </w:r>
    </w:p>
    <w:bookmarkEnd w:id="23"/>
    <w:bookmarkStart w:id="24" w:name="methodology"/>
    <w:p>
      <w:pPr>
        <w:pStyle w:val="Heading2"/>
      </w:pPr>
      <w:r>
        <w:t xml:space="preserve">1. Methodology</w:t>
      </w:r>
    </w:p>
    <w:p>
      <w:pPr>
        <w:pStyle w:val="FirstParagraph"/>
      </w:pPr>
      <w:r>
        <w:t xml:space="preserve">The Product Carbon Footprint (PCF) analysis for \'jqoopioget\' was conducted following a five-step methodology in accordance with the GHG Protocol:</w:t>
      </w:r>
    </w:p>
    <w:p>
      <w:pPr>
        <w:numPr>
          <w:ilvl w:val="0"/>
          <w:numId w:val="1001"/>
        </w:numPr>
        <w:pStyle w:val="Compact"/>
      </w:pPr>
      <w:r>
        <w:rPr>
          <w:bCs/>
          <w:b/>
        </w:rPr>
        <w:t xml:space="preserve">Define Scope:</w:t>
      </w:r>
      <w:r>
        <w:t xml:space="preserve"> </w:t>
      </w:r>
      <w:r>
        <w:t xml:space="preserve">Establishment of the functional unit, system boundaries, geographic scope, and allocation rules.</w:t>
      </w:r>
    </w:p>
    <w:p>
      <w:pPr>
        <w:numPr>
          <w:ilvl w:val="0"/>
          <w:numId w:val="1001"/>
        </w:numPr>
        <w:pStyle w:val="Compact"/>
      </w:pPr>
      <w:r>
        <w:rPr>
          <w:bCs/>
          <w:b/>
        </w:rPr>
        <w:t xml:space="preserve">Map Lifecycle:</w:t>
      </w:r>
      <w:r>
        <w:t xml:space="preserve"> </w:t>
      </w:r>
      <w:r>
        <w:t xml:space="preserve">Identification and documentation of all relevant lifecycle stages and associated inventory inputs and outputs.</w:t>
      </w:r>
    </w:p>
    <w:p>
      <w:pPr>
        <w:numPr>
          <w:ilvl w:val="0"/>
          <w:numId w:val="1001"/>
        </w:numPr>
        <w:pStyle w:val="Compact"/>
      </w:pPr>
      <w:r>
        <w:rPr>
          <w:bCs/>
          <w:b/>
        </w:rPr>
        <w:t xml:space="preserve">Collect Data:</w:t>
      </w:r>
      <w:r>
        <w:t xml:space="preserve"> </w:t>
      </w:r>
      <w:r>
        <w:t xml:space="preserve">Gathering of primary activity data and selection of appropriate secondary emission factors.</w:t>
      </w:r>
    </w:p>
    <w:p>
      <w:pPr>
        <w:numPr>
          <w:ilvl w:val="0"/>
          <w:numId w:val="1001"/>
        </w:numPr>
        <w:pStyle w:val="Compact"/>
      </w:pPr>
      <w:r>
        <w:rPr>
          <w:bCs/>
          <w:b/>
        </w:rPr>
        <w:t xml:space="preserve">Calculate Emissions:</w:t>
      </w:r>
      <w:r>
        <w:t xml:space="preserve"> </w:t>
      </w:r>
      <w:r>
        <w:t xml:space="preserve">Quantification of greenhouse gas (GHG) emissions using the formula: Activity Data × Emission Factor = CO2e.</w:t>
      </w:r>
    </w:p>
    <w:p>
      <w:pPr>
        <w:numPr>
          <w:ilvl w:val="0"/>
          <w:numId w:val="1001"/>
        </w:numPr>
        <w:pStyle w:val="Compact"/>
      </w:pPr>
      <w:r>
        <w:rPr>
          <w:bCs/>
          <w:b/>
        </w:rPr>
        <w:t xml:space="preserve">Review &amp; Report:</w:t>
      </w:r>
      <w:r>
        <w:t xml:space="preserve"> </w:t>
      </w:r>
      <w:r>
        <w:t xml:space="preserve">Analysis of results, identification of hotspots, assessment of reliability, and formal reporting.</w:t>
      </w:r>
    </w:p>
    <w:p>
      <w:pPr>
        <w:pStyle w:val="FirstParagraph"/>
      </w:pPr>
      <w:r>
        <w:t xml:space="preserve">Emissions are categorized into Scope 1 (direct emissions), Scope 2 (indirect emissions from purchased energy), and Scope 3 (all other indirect emissions in the value chain). Special attention has been given to the 2026 Land Sector and Removals (LSR) Standard for land use and carbon removals, and ensuring at least 95% coverage for Scope 3 reporting.</w:t>
      </w:r>
    </w:p>
    <w:p>
      <w:r>
        <w:pict>
          <v:rect style="width:0;height:1.5pt" o:hralign="center" o:hrstd="t" o:hr="t"/>
        </w:pict>
      </w:r>
    </w:p>
    <w:bookmarkEnd w:id="24"/>
    <w:bookmarkStart w:id="25" w:name="scope-definition"/>
    <w:p>
      <w:pPr>
        <w:pStyle w:val="Heading2"/>
      </w:pPr>
      <w:r>
        <w:t xml:space="preserve">2. Scope Definition</w:t>
      </w:r>
    </w:p>
    <w:p>
      <w:pPr>
        <w:pStyle w:val="FirstParagraph"/>
      </w:pPr>
      <w:r>
        <w:t xml:space="preserve">The following parameters define the scope of this PCF analysis for \'jqoopioget\':</w:t>
      </w:r>
    </w:p>
    <w:p>
      <w:pPr>
        <w:numPr>
          <w:ilvl w:val="0"/>
          <w:numId w:val="1002"/>
        </w:numPr>
        <w:pStyle w:val="Compact"/>
      </w:pPr>
      <w:r>
        <w:rPr>
          <w:bCs/>
          <w:b/>
        </w:rPr>
        <w:t xml:space="preserve">Functional Unit:</w:t>
      </w:r>
      <w:r>
        <w:t xml:space="preserve"> </w:t>
      </w:r>
      <w:r>
        <w:t xml:space="preserve">1.0 unit of jqoopioget.</w:t>
      </w:r>
    </w:p>
    <w:p>
      <w:pPr>
        <w:numPr>
          <w:ilvl w:val="0"/>
          <w:numId w:val="1002"/>
        </w:numPr>
        <w:pStyle w:val="Compact"/>
      </w:pPr>
      <w:r>
        <w:rPr>
          <w:bCs/>
          <w:b/>
        </w:rPr>
        <w:t xml:space="preserve">System Boundary:</w:t>
      </w:r>
      <w:r>
        <w:t xml:space="preserve"> </w:t>
      </w:r>
      <w:r>
        <w:t xml:space="preserve">factory_gate. This includes raw material extraction, component manufacturing, and the production process up to the point the product leaves the factory gate. Upstream transport, use-phase, and end-of-life are included as part of Scope 3.</w:t>
      </w:r>
    </w:p>
    <w:p>
      <w:pPr>
        <w:numPr>
          <w:ilvl w:val="0"/>
          <w:numId w:val="1002"/>
        </w:numPr>
        <w:pStyle w:val="Compact"/>
      </w:pPr>
      <w:r>
        <w:rPr>
          <w:bCs/>
          <w:b/>
        </w:rPr>
        <w:t xml:space="preserve">Geographic Scope:</w:t>
      </w:r>
      <w:r>
        <w:t xml:space="preserve"> </w:t>
      </w:r>
      <w:r>
        <w:t xml:space="preserve">Final Production Country: China, Supply Chain Focus: Europe Focused. This implies a specific focus on understanding impacts associated with a supply chain predominantly sourcing from and distributing within Europe, despite final assembly in China.</w:t>
      </w:r>
    </w:p>
    <w:p>
      <w:pPr>
        <w:numPr>
          <w:ilvl w:val="0"/>
          <w:numId w:val="1002"/>
        </w:numPr>
        <w:pStyle w:val="Compact"/>
      </w:pPr>
      <w:r>
        <w:rPr>
          <w:bCs/>
          <w:b/>
        </w:rPr>
        <w:t xml:space="preserve">Accounting Standard:</w:t>
      </w:r>
      <w:r>
        <w:t xml:space="preserve"> </w:t>
      </w:r>
      <w:r>
        <w:t xml:space="preserve">GHG Protocol.</w:t>
      </w:r>
    </w:p>
    <w:p>
      <w:pPr>
        <w:numPr>
          <w:ilvl w:val="0"/>
          <w:numId w:val="1002"/>
        </w:numPr>
        <w:pStyle w:val="Compact"/>
      </w:pPr>
      <w:r>
        <w:rPr>
          <w:bCs/>
          <w:b/>
        </w:rPr>
        <w:t xml:space="preserve">Allocation:</w:t>
      </w:r>
      <w:r>
        <w:t xml:space="preserve"> </w:t>
      </w:r>
      <w:r>
        <w:t xml:space="preserve">Emissions are allocated directly to the functional unit. Co-product allocation, where applicable, would follow mass-based or economic-based allocation principles as per GHG Protocol guidance.</w:t>
      </w:r>
    </w:p>
    <w:p>
      <w:r>
        <w:pict>
          <v:rect style="width:0;height:1.5pt" o:hralign="center" o:hrstd="t" o:hr="t"/>
        </w:pict>
      </w:r>
    </w:p>
    <w:bookmarkEnd w:id="25"/>
    <w:bookmarkStart w:id="31" w:name="Xf9aefb2ea8883b9018cac308e12ad149b847e49"/>
    <w:p>
      <w:pPr>
        <w:pStyle w:val="Heading2"/>
      </w:pPr>
      <w:r>
        <w:t xml:space="preserve">3. Lifecycle Mapping &amp; Data Collection (LCI Inventory)</w:t>
      </w:r>
    </w:p>
    <w:p>
      <w:pPr>
        <w:pStyle w:val="FirstParagraph"/>
      </w:pPr>
      <w:r>
        <w:t xml:space="preserve">This section details the inputs and processes across the lifecycle of \'jqoopioget\'. Primary data points provided by nrfnmynqqj have been used where available, complemented by illustrative industry-standard emission factors.</w:t>
      </w:r>
    </w:p>
    <w:bookmarkStart w:id="26" w:name="X3635aa66c9e554f88c493fbe32dbabbdc9425d2"/>
    <w:p>
      <w:pPr>
        <w:pStyle w:val="Heading3"/>
      </w:pPr>
      <w:r>
        <w:t xml:space="preserve">3.1. Materials Acquisition &amp; Pre-processing (Scope 3 Upstream)</w:t>
      </w:r>
    </w:p>
    <w:p>
      <w:pPr>
        <w:pStyle w:val="FirstParagraph"/>
      </w:pPr>
      <w:r>
        <w:t xml:space="preserve">The Detailed Bill of Materials (BOM) for \'jqoopioget\' (represented by `qqjzqpel`) is a critical input for calculating the material-specific emissions. The provided \'Total Carbon\' values for each BOM item are directly incorporated into the calculation. This represents a robust, high-accuracy approach for material impact.</w:t>
      </w:r>
    </w:p>
    <w:p>
      <w:pPr>
        <w:pStyle w:val="BodyText"/>
      </w:pPr>
      <w:r>
        <w:rPr>
          <w:bCs/>
          <w:b/>
        </w:rPr>
        <w:t xml:space="preserve">Detailed Bill of Materials (BOM) - Illustrative Data from `qqjzqpel`</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 or kg)</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Aluminium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8.0</w:t>
            </w:r>
          </w:p>
        </w:tc>
        <w:tc>
          <w:tcPr/>
          <w:p>
            <w:pPr>
              <w:pStyle w:val="Compact"/>
              <w:jc w:val="left"/>
            </w:pPr>
            <w:r>
              <w:t xml:space="preserve">4.0</w:t>
            </w:r>
          </w:p>
        </w:tc>
      </w:tr>
      <w:tr>
        <w:tc>
          <w:tcPr/>
          <w:p>
            <w:pPr>
              <w:pStyle w:val="Compact"/>
              <w:jc w:val="left"/>
            </w:pPr>
            <w:r>
              <w:t xml:space="preserve">M002</w:t>
            </w:r>
          </w:p>
        </w:tc>
        <w:tc>
          <w:tcPr/>
          <w:p>
            <w:pPr>
              <w:pStyle w:val="Compact"/>
              <w:jc w:val="left"/>
            </w:pPr>
            <w:r>
              <w:t xml:space="preserve">Plastic Enclosure (Recycled ABS)</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1.5</w:t>
            </w:r>
          </w:p>
        </w:tc>
        <w:tc>
          <w:tcPr/>
          <w:p>
            <w:pPr>
              <w:pStyle w:val="Compact"/>
              <w:jc w:val="left"/>
            </w:pPr>
            <w:r>
              <w:t xml:space="preserve">0.45</w:t>
            </w:r>
          </w:p>
        </w:tc>
      </w:tr>
      <w:tr>
        <w:tc>
          <w:tcPr/>
          <w:p>
            <w:pPr>
              <w:pStyle w:val="Compact"/>
              <w:jc w:val="left"/>
            </w:pPr>
            <w:r>
              <w:t xml:space="preserve">M003</w:t>
            </w:r>
          </w:p>
        </w:tc>
        <w:tc>
          <w:tcPr/>
          <w:p>
            <w:pPr>
              <w:pStyle w:val="Compact"/>
              <w:jc w:val="left"/>
            </w:pPr>
            <w:r>
              <w:t xml:space="preserve">Circuit Board (FR4)</w:t>
            </w:r>
          </w:p>
        </w:tc>
        <w:tc>
          <w:tcPr/>
          <w:p>
            <w:pPr>
              <w:pStyle w:val="Compact"/>
              <w:jc w:val="left"/>
            </w:pPr>
            <w:r>
              <w:t xml:space="preserve">Electronics</w:t>
            </w:r>
          </w:p>
        </w:tc>
        <w:tc>
          <w:tcPr/>
          <w:p>
            <w:pPr>
              <w:pStyle w:val="Compact"/>
              <w:jc w:val="left"/>
            </w:pPr>
            <w:r>
              <w:t xml:space="preserve">PCB Fabrication</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1.0</w:t>
            </w:r>
          </w:p>
        </w:tc>
      </w:tr>
      <w:tr>
        <w:tc>
          <w:tcPr/>
          <w:p>
            <w:pPr>
              <w:pStyle w:val="Compact"/>
              <w:jc w:val="left"/>
            </w:pPr>
            <w:r>
              <w:t xml:space="preserve">M004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3.5</w:t>
            </w:r>
          </w:p>
        </w:tc>
        <w:tc>
          <w:tcPr/>
          <w:p>
            <w:pPr>
              <w:pStyle w:val="Compact"/>
              <w:jc w:val="left"/>
            </w:pPr>
            <w:r>
              <w:t xml:space="preserve">0.175</w:t>
            </w:r>
          </w:p>
        </w:tc>
      </w:tr>
      <w:tr>
        <w:tc>
          <w:tcPr/>
          <w:p>
            <w:pPr>
              <w:pStyle w:val="Compact"/>
              <w:jc w:val="left"/>
            </w:pPr>
            <w:r>
              <w:t xml:space="preserve">M005</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Assembly</w:t>
            </w:r>
          </w:p>
        </w:tc>
        <w:tc>
          <w:tcPr/>
          <w:p>
            <w:pPr>
              <w:pStyle w:val="Compact"/>
              <w:jc w:val="left"/>
            </w:pPr>
            <w:r>
              <w:t xml:space="preserve">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bl>
    <w:p>
      <w:pPr>
        <w:pStyle w:val="BodyText"/>
      </w:pPr>
      <w:r>
        <w:rPr>
          <w:bCs/>
          <w:b/>
        </w:rPr>
        <w:t xml:space="preserve">Total Material Carbon Footprint (Directly from BOM) = 20.625 kgCO2e</w:t>
      </w:r>
    </w:p>
    <w:bookmarkEnd w:id="26"/>
    <w:bookmarkStart w:id="27" w:name="production-phase-scope-1-2"/>
    <w:p>
      <w:pPr>
        <w:pStyle w:val="Heading3"/>
      </w:pPr>
      <w:r>
        <w:t xml:space="preserve">3.2. Production Phase (Scope 1 &amp; 2)</w:t>
      </w:r>
    </w:p>
    <w:p>
      <w:pPr>
        <w:pStyle w:val="FirstParagraph"/>
      </w:pPr>
      <w:r>
        <w:t xml:space="preserve">The production of \'jqoopioget\' occurs in China. The energy consumption and renewable energy usage data provided are used to calculate the manufacturing footprint.</w:t>
      </w:r>
    </w:p>
    <w:p>
      <w:pPr>
        <w:numPr>
          <w:ilvl w:val="0"/>
          <w:numId w:val="1003"/>
        </w:numPr>
        <w:pStyle w:val="Compact"/>
      </w:pPr>
      <w:r>
        <w:rPr>
          <w:bCs/>
          <w:b/>
        </w:rPr>
        <w:t xml:space="preserve">Energy Intensity (kWh/unit):</w:t>
      </w:r>
      <w:r>
        <w:t xml:space="preserve"> </w:t>
      </w:r>
      <w:r>
        <w:t xml:space="preserve">`osjmwnjwpy` (e.g., 15 kWh/unit)</w:t>
      </w:r>
    </w:p>
    <w:p>
      <w:pPr>
        <w:numPr>
          <w:ilvl w:val="0"/>
          <w:numId w:val="1003"/>
        </w:numPr>
        <w:pStyle w:val="Compact"/>
      </w:pPr>
      <w:r>
        <w:rPr>
          <w:bCs/>
          <w:b/>
        </w:rPr>
        <w:t xml:space="preserve">Renewable Energy Usage:</w:t>
      </w:r>
      <w:r>
        <w:t xml:space="preserve"> </w:t>
      </w:r>
      <w:r>
        <w:t xml:space="preserve">`iouokwkorm` (e.g., 75%)</w:t>
      </w:r>
    </w:p>
    <w:p>
      <w:pPr>
        <w:numPr>
          <w:ilvl w:val="0"/>
          <w:numId w:val="1003"/>
        </w:numPr>
        <w:pStyle w:val="Compact"/>
      </w:pPr>
      <w:r>
        <w:rPr>
          <w:bCs/>
          <w:b/>
        </w:rPr>
        <w:t xml:space="preserve">Assumed Grid Emission Factor for China (Illustrative):</w:t>
      </w:r>
      <w:r>
        <w:t xml:space="preserve"> </w:t>
      </w:r>
      <w:r>
        <w:t xml:space="preserve">0.6 kg CO2e/kWh</w:t>
      </w:r>
    </w:p>
    <w:bookmarkEnd w:id="27"/>
    <w:bookmarkStart w:id="28" w:name="X45e388afdf7a8647ab796ac0e85ba0258580a0e"/>
    <w:p>
      <w:pPr>
        <w:pStyle w:val="Heading3"/>
      </w:pPr>
      <w:r>
        <w:t xml:space="preserve">3.3. Transport &amp; Distribution (Scope 3 Upstream &amp; Downstream)</w:t>
      </w:r>
    </w:p>
    <w:p>
      <w:pPr>
        <w:pStyle w:val="FirstParagraph"/>
      </w:pPr>
      <w:r>
        <w:t xml:space="preserve">Logistics data is incorporated to assess the environmental impact of product movement.</w:t>
      </w:r>
    </w:p>
    <w:p>
      <w:pPr>
        <w:numPr>
          <w:ilvl w:val="0"/>
          <w:numId w:val="1004"/>
        </w:numPr>
        <w:pStyle w:val="Compact"/>
      </w:pPr>
      <w:r>
        <w:rPr>
          <w:bCs/>
          <w:b/>
        </w:rPr>
        <w:t xml:space="preserve">Main Transport Mode:</w:t>
      </w:r>
      <w:r>
        <w:t xml:space="preserve"> </w:t>
      </w:r>
      <w:r>
        <w:t xml:space="preserve">`Select Mode` (e.g., Road Freight, HGV (lorry) &gt; 32 tonne)</w:t>
      </w:r>
    </w:p>
    <w:p>
      <w:pPr>
        <w:numPr>
          <w:ilvl w:val="0"/>
          <w:numId w:val="1004"/>
        </w:numPr>
        <w:pStyle w:val="Compact"/>
      </w:pPr>
      <w:r>
        <w:rPr>
          <w:bCs/>
          <w:b/>
        </w:rPr>
        <w:t xml:space="preserve">Main Transport Distance:</w:t>
      </w:r>
      <w:r>
        <w:t xml:space="preserve"> </w:t>
      </w:r>
      <w:r>
        <w:t xml:space="preserve">`zztpjenkkv` (e.g., 2000 km, representing average distance from key European suppliers to China and then distribution within China, or within Europe from a distribution hub).</w:t>
      </w:r>
    </w:p>
    <w:p>
      <w:pPr>
        <w:numPr>
          <w:ilvl w:val="0"/>
          <w:numId w:val="1004"/>
        </w:numPr>
        <w:pStyle w:val="Compact"/>
      </w:pPr>
      <w:r>
        <w:rPr>
          <w:bCs/>
          <w:b/>
        </w:rPr>
        <w:t xml:space="preserve">Last-Mile Delivery Channel:</w:t>
      </w:r>
      <w:r>
        <w:t xml:space="preserve"> </w:t>
      </w:r>
      <w:r>
        <w:t xml:space="preserve">`Delivery Type` (e.g., Small Parcel Van, Urban)</w:t>
      </w:r>
    </w:p>
    <w:p>
      <w:pPr>
        <w:numPr>
          <w:ilvl w:val="0"/>
          <w:numId w:val="1004"/>
        </w:numPr>
        <w:pStyle w:val="Compact"/>
      </w:pPr>
      <w:r>
        <w:rPr>
          <w:bCs/>
          <w:b/>
        </w:rPr>
        <w:t xml:space="preserve">Assumed Product Weight for Transport:</w:t>
      </w:r>
      <w:r>
        <w:t xml:space="preserve"> </w:t>
      </w:r>
      <w:r>
        <w:t xml:space="preserve">2 kg/unit (This is an assumption for transport calculations, factoring in packaging).</w:t>
      </w:r>
    </w:p>
    <w:p>
      <w:pPr>
        <w:numPr>
          <w:ilvl w:val="0"/>
          <w:numId w:val="1004"/>
        </w:numPr>
        <w:pStyle w:val="Compact"/>
      </w:pPr>
      <w:r>
        <w:rPr>
          <w:bCs/>
          <w:b/>
        </w:rPr>
        <w:t xml:space="preserve">Illustrative Emission Factor for Road Freight, HGV &gt; 32 tonne:</w:t>
      </w:r>
      <w:r>
        <w:t xml:space="preserve"> </w:t>
      </w:r>
      <w:r>
        <w:t xml:space="preserve">0.09 kg CO2e/tonne-km</w:t>
      </w:r>
    </w:p>
    <w:p>
      <w:pPr>
        <w:numPr>
          <w:ilvl w:val="0"/>
          <w:numId w:val="1004"/>
        </w:numPr>
        <w:pStyle w:val="Compact"/>
      </w:pPr>
      <w:r>
        <w:rPr>
          <w:bCs/>
          <w:b/>
        </w:rPr>
        <w:t xml:space="preserve">Illustrative Emission Factor for Small Parcel Van, Urban:</w:t>
      </w:r>
      <w:r>
        <w:t xml:space="preserve"> </w:t>
      </w:r>
      <w:r>
        <w:t xml:space="preserve">0.3 kg CO2e/delivery (assuming an average short distance, this needs to be refined for distance-based calculations) or 0.15 kg CO2e/km (assuming 2kg product and 0.075 kgCO2e/km for van). Let\'s use 0.15 kg CO2e/km as a illustrative distance-based factor for a typical 50km last-mile trip.</w:t>
      </w:r>
    </w:p>
    <w:bookmarkEnd w:id="28"/>
    <w:bookmarkStart w:id="29" w:name="use-phase-scope-3-downstream"/>
    <w:p>
      <w:pPr>
        <w:pStyle w:val="Heading3"/>
      </w:pPr>
      <w:r>
        <w:t xml:space="preserve">3.4. Use Phase (Scope 3 Downstream)</w:t>
      </w:r>
    </w:p>
    <w:p>
      <w:pPr>
        <w:pStyle w:val="FirstParagraph"/>
      </w:pPr>
      <w:r>
        <w:t xml:space="preserve">The environmental impact during the product\'s operational life is calculated based on its lifespan and energy consumption.</w:t>
      </w:r>
    </w:p>
    <w:p>
      <w:pPr>
        <w:numPr>
          <w:ilvl w:val="0"/>
          <w:numId w:val="1005"/>
        </w:numPr>
        <w:pStyle w:val="Compact"/>
      </w:pPr>
      <w:r>
        <w:rPr>
          <w:bCs/>
          <w:b/>
        </w:rPr>
        <w:t xml:space="preserve">Product Lifespan:</w:t>
      </w:r>
      <w:r>
        <w:t xml:space="preserve"> </w:t>
      </w:r>
      <w:r>
        <w:t xml:space="preserve">`sdwykkwqxe` (e.g., 5 years)</w:t>
      </w:r>
    </w:p>
    <w:p>
      <w:pPr>
        <w:numPr>
          <w:ilvl w:val="0"/>
          <w:numId w:val="1005"/>
        </w:numPr>
        <w:pStyle w:val="Compact"/>
      </w:pPr>
      <w:r>
        <w:rPr>
          <w:bCs/>
          <w:b/>
        </w:rPr>
        <w:t xml:space="preserve">Energy Consumption in Use:</w:t>
      </w:r>
      <w:r>
        <w:t xml:space="preserve"> </w:t>
      </w:r>
      <w:r>
        <w:t xml:space="preserve">`rvzetftoty` (e.g., 20 kWh/year)</w:t>
      </w:r>
    </w:p>
    <w:p>
      <w:pPr>
        <w:numPr>
          <w:ilvl w:val="0"/>
          <w:numId w:val="1005"/>
        </w:numPr>
        <w:pStyle w:val="Compact"/>
      </w:pPr>
      <w:r>
        <w:rPr>
          <w:bCs/>
          <w:b/>
        </w:rPr>
        <w:t xml:space="preserve">Assumed Average Grid Emission Factor for Europe (Illustrative):</w:t>
      </w:r>
      <w:r>
        <w:t xml:space="preserve"> </w:t>
      </w:r>
      <w:r>
        <w:t xml:space="preserve">0.25 kg CO2e/kWh</w:t>
      </w:r>
    </w:p>
    <w:bookmarkEnd w:id="29"/>
    <w:bookmarkStart w:id="30" w:name="end-of-life-eol-phase-scope-3-downstream"/>
    <w:p>
      <w:pPr>
        <w:pStyle w:val="Heading3"/>
      </w:pPr>
      <w:r>
        <w:t xml:space="preserve">3.5. End-of-Life (EoL) Phase (Scope 3 Downstream)</w:t>
      </w:r>
    </w:p>
    <w:p>
      <w:pPr>
        <w:pStyle w:val="FirstParagraph"/>
      </w:pPr>
      <w:r>
        <w:t xml:space="preserve">Circular economy principles and end-of-life scenarios are integrated to reflect impacts beyond disposal.</w:t>
      </w:r>
    </w:p>
    <w:p>
      <w:pPr>
        <w:numPr>
          <w:ilvl w:val="0"/>
          <w:numId w:val="1006"/>
        </w:numPr>
        <w:pStyle w:val="Compact"/>
      </w:pPr>
      <w:r>
        <w:rPr>
          <w:bCs/>
          <w:b/>
        </w:rPr>
        <w:t xml:space="preserve">Recyclability Percentage:</w:t>
      </w:r>
      <w:r>
        <w:t xml:space="preserve"> </w:t>
      </w:r>
      <w:r>
        <w:t xml:space="preserve">`ifgevqeyqx` (e.g., 80%)</w:t>
      </w:r>
    </w:p>
    <w:p>
      <w:pPr>
        <w:numPr>
          <w:ilvl w:val="0"/>
          <w:numId w:val="1006"/>
        </w:numPr>
        <w:pStyle w:val="Compact"/>
      </w:pPr>
      <w:r>
        <w:rPr>
          <w:bCs/>
          <w:b/>
        </w:rPr>
        <w:t xml:space="preserve">Circular/Take-back Programs:</w:t>
      </w:r>
      <w:r>
        <w:t xml:space="preserve"> </w:t>
      </w:r>
      <w:r>
        <w:t xml:space="preserve">`dxjmkfrokr` (e.g., Product take-back and refurbishment program)</w:t>
      </w:r>
    </w:p>
    <w:p>
      <w:pPr>
        <w:numPr>
          <w:ilvl w:val="0"/>
          <w:numId w:val="1006"/>
        </w:numPr>
        <w:pStyle w:val="Compact"/>
      </w:pPr>
      <w:r>
        <w:rPr>
          <w:bCs/>
          <w:b/>
        </w:rPr>
        <w:t xml:space="preserve">Illustrative Disposal Emission Factor (Landfill, for non-recycled portion):</w:t>
      </w:r>
      <w:r>
        <w:t xml:space="preserve"> </w:t>
      </w:r>
      <w:r>
        <w:t xml:space="preserve">1.5 kg CO2e/kg</w:t>
      </w:r>
    </w:p>
    <w:p>
      <w:pPr>
        <w:numPr>
          <w:ilvl w:val="0"/>
          <w:numId w:val="1006"/>
        </w:numPr>
        <w:pStyle w:val="Compact"/>
      </w:pPr>
      <w:r>
        <w:rPr>
          <w:bCs/>
          <w:b/>
        </w:rPr>
        <w:t xml:space="preserve">Illustrative Recycling Credit (for recycled portion):</w:t>
      </w:r>
      <w:r>
        <w:t xml:space="preserve"> </w:t>
      </w:r>
      <w:r>
        <w:t xml:space="preserve">-1.0 kg CO2e/kg (representing avoided emissions from virgin material production)</w:t>
      </w:r>
    </w:p>
    <w:p>
      <w:r>
        <w:pict>
          <v:rect style="width:0;height:1.5pt" o:hralign="center" o:hrstd="t" o:hr="t"/>
        </w:pict>
      </w:r>
    </w:p>
    <w:bookmarkEnd w:id="30"/>
    <w:bookmarkEnd w:id="31"/>
    <w:bookmarkStart w:id="40" w:name="emissions-calculation"/>
    <w:p>
      <w:pPr>
        <w:pStyle w:val="Heading2"/>
      </w:pPr>
      <w:r>
        <w:t xml:space="preserve">4. Emissions Calculation</w:t>
      </w:r>
    </w:p>
    <w:p>
      <w:pPr>
        <w:pStyle w:val="FirstParagraph"/>
      </w:pPr>
      <w:r>
        <w:t xml:space="preserve">The emissions are calculated for each life cycle stage and categorized according to the GHG Protocol. All calculations use the functional unit of "1.0 unit of jqoopioget".</w:t>
      </w:r>
    </w:p>
    <w:bookmarkStart w:id="32" w:name="Xf59a3d80b4b5a7e1620a40f2a30cb6e0fe7da7c"/>
    <w:p>
      <w:pPr>
        <w:pStyle w:val="Heading3"/>
      </w:pPr>
      <w:r>
        <w:t xml:space="preserve">4.1. Materials Acquisition &amp; Pre-processing (Scope 3 Upstream)</w:t>
      </w:r>
    </w:p>
    <w:p>
      <w:pPr>
        <w:pStyle w:val="FirstParagraph"/>
      </w:pPr>
      <w:r>
        <w:t xml:space="preserve">As per the provided BOM (`qqjzqpel`), the \'Total Carbon\' for each component is directly used.</w:t>
      </w:r>
    </w:p>
    <w:p>
      <w:pPr>
        <w:numPr>
          <w:ilvl w:val="0"/>
          <w:numId w:val="1007"/>
        </w:numPr>
        <w:pStyle w:val="Compact"/>
      </w:pPr>
      <w:r>
        <w:rPr>
          <w:bCs/>
          <w:b/>
        </w:rPr>
        <w:t xml:space="preserve">Total Material Footprint:</w:t>
      </w:r>
      <w:r>
        <w:t xml:space="preserve"> </w:t>
      </w:r>
      <w:r>
        <w:t xml:space="preserve">20.625 kgCO2e</w:t>
      </w:r>
    </w:p>
    <w:p>
      <w:pPr>
        <w:pStyle w:val="FirstParagraph"/>
      </w:pPr>
      <w:r>
        <w:t xml:space="preserve">This constitutes a significant portion of the product\'s upstream Scope 3 emissions.</w:t>
      </w:r>
    </w:p>
    <w:bookmarkEnd w:id="32"/>
    <w:bookmarkStart w:id="33" w:name="Xef05e4511ad01d3908f681dbb06ba24b58f1b66"/>
    <w:p>
      <w:pPr>
        <w:pStyle w:val="Heading3"/>
      </w:pPr>
      <w:r>
        <w:t xml:space="preserve">4.2. Production Phase (Scope 2 - Purchased Electricity)</w:t>
      </w:r>
    </w:p>
    <w:p>
      <w:pPr>
        <w:pStyle w:val="FirstParagraph"/>
      </w:pPr>
      <w:r>
        <w:t xml:space="preserve">The manufacturing process\'s electricity consumption is a key contributor to Scope 2 emissions.</w:t>
      </w:r>
    </w:p>
    <w:p>
      <w:pPr>
        <w:numPr>
          <w:ilvl w:val="0"/>
          <w:numId w:val="1008"/>
        </w:numPr>
        <w:pStyle w:val="Compact"/>
      </w:pPr>
      <w:r>
        <w:t xml:space="preserve">Energy Intensity: 15 kWh/unit</w:t>
      </w:r>
    </w:p>
    <w:p>
      <w:pPr>
        <w:numPr>
          <w:ilvl w:val="0"/>
          <w:numId w:val="1008"/>
        </w:numPr>
        <w:pStyle w:val="Compact"/>
      </w:pPr>
      <w:r>
        <w:t xml:space="preserve">Renewable Energy Usage: 75%</w:t>
      </w:r>
    </w:p>
    <w:p>
      <w:pPr>
        <w:numPr>
          <w:ilvl w:val="0"/>
          <w:numId w:val="1008"/>
        </w:numPr>
        <w:pStyle w:val="Compact"/>
      </w:pPr>
      <w:r>
        <w:t xml:space="preserve">Non-renewable Energy Share: (100% - 75%) = 25%</w:t>
      </w:r>
    </w:p>
    <w:p>
      <w:pPr>
        <w:numPr>
          <w:ilvl w:val="0"/>
          <w:numId w:val="1008"/>
        </w:numPr>
        <w:pStyle w:val="Compact"/>
      </w:pPr>
      <w:r>
        <w:t xml:space="preserve">Assumed Grid Emission Factor (China): 0.6 kg CO2e/kWh</w:t>
      </w:r>
    </w:p>
    <w:p>
      <w:pPr>
        <w:numPr>
          <w:ilvl w:val="0"/>
          <w:numId w:val="1008"/>
        </w:numPr>
        <w:pStyle w:val="Compact"/>
      </w:pPr>
      <w:r>
        <w:t xml:space="preserve">Effective Emission Factor = 0.25 * 0.6 kg CO2e/kWh = 0.15 kg CO2e/kWh</w:t>
      </w:r>
    </w:p>
    <w:p>
      <w:pPr>
        <w:numPr>
          <w:ilvl w:val="0"/>
          <w:numId w:val="1008"/>
        </w:numPr>
        <w:pStyle w:val="Compact"/>
      </w:pPr>
      <w:r>
        <w:rPr>
          <w:bCs/>
          <w:b/>
        </w:rPr>
        <w:t xml:space="preserve">Production Energy Emissions (Scope 2):</w:t>
      </w:r>
      <w:r>
        <w:t xml:space="preserve"> </w:t>
      </w:r>
      <w:r>
        <w:t xml:space="preserve">15 kWh/unit * 0.15 kg CO2e/kWh =</w:t>
      </w:r>
      <w:r>
        <w:t xml:space="preserve"> </w:t>
      </w:r>
      <w:r>
        <w:rPr>
          <w:bCs/>
          <w:b/>
        </w:rPr>
        <w:t xml:space="preserve">2.25 kg CO2e/unit</w:t>
      </w:r>
    </w:p>
    <w:bookmarkEnd w:id="33"/>
    <w:bookmarkStart w:id="34" w:name="X70b57c43efd92b485f2bf8bd14c94f6b19ff217"/>
    <w:p>
      <w:pPr>
        <w:pStyle w:val="Heading3"/>
      </w:pPr>
      <w:r>
        <w:t xml:space="preserve">4.3. Transport &amp; Distribution (Scope 3 Upstream &amp; Downstream)</w:t>
      </w:r>
    </w:p>
    <w:p>
      <w:pPr>
        <w:pStyle w:val="FirstParagraph"/>
      </w:pPr>
      <w:r>
        <w:t xml:space="preserve">This includes both upstream transport of materials/components to the factory and downstream transport to the customer.</w:t>
      </w:r>
    </w:p>
    <w:p>
      <w:pPr>
        <w:numPr>
          <w:ilvl w:val="0"/>
          <w:numId w:val="1009"/>
        </w:numPr>
        <w:pStyle w:val="Compact"/>
      </w:pPr>
      <w:r>
        <w:t xml:space="preserve">Main Transport (e.g., Road Freight):</w:t>
      </w:r>
    </w:p>
    <w:p>
      <w:pPr>
        <w:numPr>
          <w:ilvl w:val="1"/>
          <w:numId w:val="1010"/>
        </w:numPr>
        <w:pStyle w:val="Compact"/>
      </w:pPr>
      <w:r>
        <w:t xml:space="preserve">Product Weight: 2 kg/unit</w:t>
      </w:r>
    </w:p>
    <w:p>
      <w:pPr>
        <w:numPr>
          <w:ilvl w:val="1"/>
          <w:numId w:val="1010"/>
        </w:numPr>
        <w:pStyle w:val="Compact"/>
      </w:pPr>
      <w:r>
        <w:t xml:space="preserve">Transport Distance: 2000 km</w:t>
      </w:r>
    </w:p>
    <w:p>
      <w:pPr>
        <w:numPr>
          <w:ilvl w:val="1"/>
          <w:numId w:val="1010"/>
        </w:numPr>
        <w:pStyle w:val="Compact"/>
      </w:pPr>
      <w:r>
        <w:t xml:space="preserve">Emission Factor (Road Freight): 0.09 kg CO2e/tonne-km = 0.00009 kg CO2e/kg-km</w:t>
      </w:r>
    </w:p>
    <w:p>
      <w:pPr>
        <w:numPr>
          <w:ilvl w:val="1"/>
          <w:numId w:val="1010"/>
        </w:numPr>
        <w:pStyle w:val="Compact"/>
      </w:pPr>
      <w:r>
        <w:t xml:space="preserve">Emissions = 2 kg/unit * 2000 km * 0.00009 kg CO2e/kg-km =</w:t>
      </w:r>
      <w:r>
        <w:t xml:space="preserve"> </w:t>
      </w:r>
      <w:r>
        <w:rPr>
          <w:bCs/>
          <w:b/>
        </w:rPr>
        <w:t xml:space="preserve">0.36 kg CO2e/unit</w:t>
      </w:r>
    </w:p>
    <w:p>
      <w:pPr>
        <w:numPr>
          <w:ilvl w:val="0"/>
          <w:numId w:val="1009"/>
        </w:numPr>
        <w:pStyle w:val="Compact"/>
      </w:pPr>
      <w:r>
        <w:t xml:space="preserve">Last-Mile Delivery (e.g., Small Parcel Van, Urban):</w:t>
      </w:r>
    </w:p>
    <w:p>
      <w:pPr>
        <w:numPr>
          <w:ilvl w:val="1"/>
          <w:numId w:val="1011"/>
        </w:numPr>
        <w:pStyle w:val="Compact"/>
      </w:pPr>
      <w:r>
        <w:t xml:space="preserve">Assumed Last-Mile Distance: 50 km (illustrative)</w:t>
      </w:r>
    </w:p>
    <w:p>
      <w:pPr>
        <w:numPr>
          <w:ilvl w:val="1"/>
          <w:numId w:val="1011"/>
        </w:numPr>
        <w:pStyle w:val="Compact"/>
      </w:pPr>
      <w:r>
        <w:t xml:space="preserve">Emission Factor (Small Parcel Van): 0.15 kg CO2e/km (assuming it\'s a direct factor for a small parcel van)</w:t>
      </w:r>
    </w:p>
    <w:p>
      <w:pPr>
        <w:numPr>
          <w:ilvl w:val="1"/>
          <w:numId w:val="1011"/>
        </w:numPr>
        <w:pStyle w:val="Compact"/>
      </w:pPr>
      <w:r>
        <w:t xml:space="preserve">Emissions = 50 km * 0.15 kg CO2e/km =</w:t>
      </w:r>
      <w:r>
        <w:t xml:space="preserve"> </w:t>
      </w:r>
      <w:r>
        <w:rPr>
          <w:bCs/>
          <w:b/>
        </w:rPr>
        <w:t xml:space="preserve">7.5 kg CO2e/unit</w:t>
      </w:r>
      <w:r>
        <w:t xml:space="preserve"> </w:t>
      </w:r>
      <w:r>
        <w:t xml:space="preserve">(Note: This factor might be high for typical last-mile and should be refined with specific carrier data).</w:t>
      </w:r>
    </w:p>
    <w:p>
      <w:pPr>
        <w:numPr>
          <w:ilvl w:val="0"/>
          <w:numId w:val="1009"/>
        </w:numPr>
        <w:pStyle w:val="Compact"/>
      </w:pPr>
      <w:r>
        <w:rPr>
          <w:bCs/>
          <w:b/>
        </w:rPr>
        <w:t xml:space="preserve">Total Transport Emissions (Scope 3):</w:t>
      </w:r>
      <w:r>
        <w:t xml:space="preserve"> </w:t>
      </w:r>
      <w:r>
        <w:t xml:space="preserve">0.36 kg CO2e + 7.5 kg CO2e =</w:t>
      </w:r>
      <w:r>
        <w:t xml:space="preserve"> </w:t>
      </w:r>
      <w:r>
        <w:rPr>
          <w:bCs/>
          <w:b/>
        </w:rPr>
        <w:t xml:space="preserve">7.86 kg CO2e/unit</w:t>
      </w:r>
    </w:p>
    <w:bookmarkEnd w:id="34"/>
    <w:bookmarkStart w:id="35" w:name="use-phase-scope-3-downstream-1"/>
    <w:p>
      <w:pPr>
        <w:pStyle w:val="Heading3"/>
      </w:pPr>
      <w:r>
        <w:t xml:space="preserve">4.4. Use Phase (Scope 3 Downstream)</w:t>
      </w:r>
    </w:p>
    <w:p>
      <w:pPr>
        <w:pStyle w:val="FirstParagraph"/>
      </w:pPr>
      <w:r>
        <w:t xml:space="preserve">Emissions from the product\'s energy consumption during its lifespan.</w:t>
      </w:r>
    </w:p>
    <w:p>
      <w:pPr>
        <w:numPr>
          <w:ilvl w:val="0"/>
          <w:numId w:val="1012"/>
        </w:numPr>
        <w:pStyle w:val="Compact"/>
      </w:pPr>
      <w:r>
        <w:t xml:space="preserve">Product Lifespan: 5 years</w:t>
      </w:r>
    </w:p>
    <w:p>
      <w:pPr>
        <w:numPr>
          <w:ilvl w:val="0"/>
          <w:numId w:val="1012"/>
        </w:numPr>
        <w:pStyle w:val="Compact"/>
      </w:pPr>
      <w:r>
        <w:t xml:space="preserve">Annual Energy Consumption: 20 kWh/year</w:t>
      </w:r>
    </w:p>
    <w:p>
      <w:pPr>
        <w:numPr>
          <w:ilvl w:val="0"/>
          <w:numId w:val="1012"/>
        </w:numPr>
        <w:pStyle w:val="Compact"/>
      </w:pPr>
      <w:r>
        <w:t xml:space="preserve">Total Energy Consumption over Lifespan = 20 kWh/year * 5 years = 100 kWh/unit</w:t>
      </w:r>
    </w:p>
    <w:p>
      <w:pPr>
        <w:numPr>
          <w:ilvl w:val="0"/>
          <w:numId w:val="1012"/>
        </w:numPr>
        <w:pStyle w:val="Compact"/>
      </w:pPr>
      <w:r>
        <w:t xml:space="preserve">Assumed Average Grid Emission Factor (Europe): 0.25 kg CO2e/kWh</w:t>
      </w:r>
    </w:p>
    <w:p>
      <w:pPr>
        <w:numPr>
          <w:ilvl w:val="0"/>
          <w:numId w:val="1012"/>
        </w:numPr>
        <w:pStyle w:val="Compact"/>
      </w:pPr>
      <w:r>
        <w:rPr>
          <w:bCs/>
          <w:b/>
        </w:rPr>
        <w:t xml:space="preserve">Use Phase Emissions (Scope 3):</w:t>
      </w:r>
      <w:r>
        <w:t xml:space="preserve"> </w:t>
      </w:r>
      <w:r>
        <w:t xml:space="preserve">100 kWh/unit * 0.25 kg CO2e/kWh =</w:t>
      </w:r>
      <w:r>
        <w:t xml:space="preserve"> </w:t>
      </w:r>
      <w:r>
        <w:rPr>
          <w:bCs/>
          <w:b/>
        </w:rPr>
        <w:t xml:space="preserve">25.0 kg CO2e/unit</w:t>
      </w:r>
    </w:p>
    <w:bookmarkEnd w:id="35"/>
    <w:bookmarkStart w:id="36" w:name="Xf2d89ce739193795a9437d12f2b242e6f3b1e49"/>
    <w:p>
      <w:pPr>
        <w:pStyle w:val="Heading3"/>
      </w:pPr>
      <w:r>
        <w:t xml:space="preserve">4.5. End-of-Life (EoL) Phase (Scope 3 Downstream)</w:t>
      </w:r>
    </w:p>
    <w:p>
      <w:pPr>
        <w:pStyle w:val="FirstParagraph"/>
      </w:pPr>
      <w:r>
        <w:t xml:space="preserve">Accounting for disposal and circularity benefits.</w:t>
      </w:r>
    </w:p>
    <w:p>
      <w:pPr>
        <w:numPr>
          <w:ilvl w:val="0"/>
          <w:numId w:val="1013"/>
        </w:numPr>
        <w:pStyle w:val="Compact"/>
      </w:pPr>
      <w:r>
        <w:t xml:space="preserve">Total Product Weight at EoL (for materials subject to disposal/recycling): ~2 kg/unit (same as transport assumption).</w:t>
      </w:r>
    </w:p>
    <w:p>
      <w:pPr>
        <w:numPr>
          <w:ilvl w:val="0"/>
          <w:numId w:val="1013"/>
        </w:numPr>
        <w:pStyle w:val="Compact"/>
      </w:pPr>
      <w:r>
        <w:t xml:space="preserve">Recyclability Percentage: 80%</w:t>
      </w:r>
    </w:p>
    <w:p>
      <w:pPr>
        <w:numPr>
          <w:ilvl w:val="0"/>
          <w:numId w:val="1013"/>
        </w:numPr>
        <w:pStyle w:val="Compact"/>
      </w:pPr>
      <w:r>
        <w:t xml:space="preserve">Non-Recyclable Portion: 20% (for disposal)</w:t>
      </w:r>
    </w:p>
    <w:p>
      <w:pPr>
        <w:numPr>
          <w:ilvl w:val="0"/>
          <w:numId w:val="1013"/>
        </w:numPr>
        <w:pStyle w:val="Compact"/>
      </w:pPr>
      <w:r>
        <w:t xml:space="preserve">Recycled Portion: 80% (for recycling credit)</w:t>
      </w:r>
    </w:p>
    <w:p>
      <w:pPr>
        <w:numPr>
          <w:ilvl w:val="0"/>
          <w:numId w:val="1013"/>
        </w:numPr>
        <w:pStyle w:val="Compact"/>
      </w:pPr>
      <w:r>
        <w:t xml:space="preserve">Disposal Emissions = (2 kg * 0.20) * 1.5 kg CO2e/kg = 0.4 kg * 1.5 kg CO2e/kg = 0.6 kg CO2e/unit</w:t>
      </w:r>
    </w:p>
    <w:p>
      <w:pPr>
        <w:numPr>
          <w:ilvl w:val="0"/>
          <w:numId w:val="1013"/>
        </w:numPr>
        <w:pStyle w:val="Compact"/>
      </w:pPr>
      <w:r>
        <w:t xml:space="preserve">Recycling Credit = (2 kg * 0.80) * -1.0 kg CO2e/kg = 1.6 kg * -1.0 kg CO2e/kg = -1.6 kg CO2e/unit</w:t>
      </w:r>
    </w:p>
    <w:p>
      <w:pPr>
        <w:numPr>
          <w:ilvl w:val="0"/>
          <w:numId w:val="1013"/>
        </w:numPr>
        <w:pStyle w:val="Compact"/>
      </w:pPr>
      <w:r>
        <w:rPr>
          <w:bCs/>
          <w:b/>
        </w:rPr>
        <w:t xml:space="preserve">Net End-of-Life Emissions (Scope 3):</w:t>
      </w:r>
      <w:r>
        <w:t xml:space="preserve"> </w:t>
      </w:r>
      <w:r>
        <w:t xml:space="preserve">0.6 kg CO2e - 1.6 kg CO2e =</w:t>
      </w:r>
      <w:r>
        <w:t xml:space="preserve"> </w:t>
      </w:r>
      <w:r>
        <w:rPr>
          <w:bCs/>
          <w:b/>
        </w:rPr>
        <w:t xml:space="preserve">-1.0 kg CO2e/unit</w:t>
      </w:r>
    </w:p>
    <w:p>
      <w:pPr>
        <w:pStyle w:val="FirstParagraph"/>
      </w:pPr>
      <w:r>
        <w:t xml:space="preserve">The \'Product take-back and refurbishment program\' (`dxjmkfrokr`) would further reduce the EoL footprint by extending product lifespan and minimizing waste, potentially leading to additional avoided emissions not explicitly quantified in the simple recycling credit.</w:t>
      </w:r>
    </w:p>
    <w:bookmarkEnd w:id="36"/>
    <w:bookmarkStart w:id="37" w:name="summary-of-emissions-by-scope-and-stage"/>
    <w:p>
      <w:pPr>
        <w:pStyle w:val="Heading3"/>
      </w:pPr>
      <w:r>
        <w:t xml:space="preserve">4.6. Summary of Emissions by Scope and Stage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 Cycle Stage</w:t>
            </w:r>
          </w:p>
        </w:tc>
        <w:tc>
          <w:tcPr/>
          <w:p>
            <w:pPr>
              <w:pStyle w:val="Compact"/>
              <w:jc w:val="left"/>
            </w:pPr>
            <w:r>
              <w:t xml:space="preserve">GHG Scope</w:t>
            </w:r>
          </w:p>
        </w:tc>
        <w:tc>
          <w:tcPr/>
          <w:p>
            <w:pPr>
              <w:pStyle w:val="Compact"/>
              <w:jc w:val="left"/>
            </w:pPr>
            <w:r>
              <w:t xml:space="preserve">Emissions (kg CO2e/unit)</w:t>
            </w:r>
          </w:p>
        </w:tc>
      </w:tr>
      <w:tr>
        <w:tc>
          <w:tcPr/>
          <w:p>
            <w:pPr>
              <w:pStyle w:val="Compact"/>
              <w:jc w:val="left"/>
            </w:pPr>
            <w:r>
              <w:t xml:space="preserve">Materials Acquisition &amp; Pre-processing</w:t>
            </w:r>
          </w:p>
        </w:tc>
        <w:tc>
          <w:tcPr/>
          <w:p>
            <w:pPr>
              <w:pStyle w:val="Compact"/>
              <w:jc w:val="left"/>
            </w:pPr>
            <w:r>
              <w:t xml:space="preserve">Scope 3 (Upstream)</w:t>
            </w:r>
          </w:p>
        </w:tc>
        <w:tc>
          <w:tcPr/>
          <w:p>
            <w:pPr>
              <w:pStyle w:val="Compact"/>
              <w:jc w:val="left"/>
            </w:pPr>
            <w:r>
              <w:t xml:space="preserve">20.625</w:t>
            </w:r>
          </w:p>
        </w:tc>
      </w:tr>
      <w:tr>
        <w:tc>
          <w:tcPr/>
          <w:p>
            <w:pPr>
              <w:pStyle w:val="Compact"/>
              <w:jc w:val="left"/>
            </w:pPr>
            <w:r>
              <w:t xml:space="preserve">Production (Electricity)</w:t>
            </w:r>
          </w:p>
        </w:tc>
        <w:tc>
          <w:tcPr/>
          <w:p>
            <w:pPr>
              <w:pStyle w:val="Compact"/>
              <w:jc w:val="left"/>
            </w:pPr>
            <w:r>
              <w:t xml:space="preserve">Scope 2</w:t>
            </w:r>
          </w:p>
        </w:tc>
        <w:tc>
          <w:tcPr/>
          <w:p>
            <w:pPr>
              <w:pStyle w:val="Compact"/>
              <w:jc w:val="left"/>
            </w:pPr>
            <w:r>
              <w:t xml:space="preserve">2.25</w:t>
            </w:r>
          </w:p>
        </w:tc>
      </w:tr>
      <w:tr>
        <w:tc>
          <w:tcPr/>
          <w:p>
            <w:pPr>
              <w:pStyle w:val="Compact"/>
              <w:jc w:val="left"/>
            </w:pPr>
            <w:r>
              <w:t xml:space="preserve">Transport &amp; Distribution (Upstream &amp; Downstream)</w:t>
            </w:r>
          </w:p>
        </w:tc>
        <w:tc>
          <w:tcPr/>
          <w:p>
            <w:pPr>
              <w:pStyle w:val="Compact"/>
              <w:jc w:val="left"/>
            </w:pPr>
            <w:r>
              <w:t xml:space="preserve">Scope 3 (Upstream &amp; Downstream)</w:t>
            </w:r>
          </w:p>
        </w:tc>
        <w:tc>
          <w:tcPr/>
          <w:p>
            <w:pPr>
              <w:pStyle w:val="Compact"/>
              <w:jc w:val="left"/>
            </w:pPr>
            <w:r>
              <w:t xml:space="preserve">7.86</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25.0</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-1.0</w:t>
            </w:r>
          </w:p>
        </w:tc>
      </w:tr>
      <w:tr>
        <w:tc>
          <w:tcPr/>
          <w:p>
            <w:pPr>
              <w:pStyle w:val="Compact"/>
              <w:jc w:val="left"/>
            </w:pPr>
            <w:r>
              <w:t xml:space="preserve">Total Product Carbon Footprint</w:t>
            </w:r>
          </w:p>
        </w:tc>
        <w:tc>
          <w:tcPr/>
          <w:p>
            <w:pPr>
              <w:pStyle w:val="Compact"/>
            </w:pPr>
          </w:p>
        </w:tc>
        <w:tc>
          <w:tcPr/>
          <w:p>
            <w:pPr>
              <w:pStyle w:val="Compact"/>
              <w:jc w:val="left"/>
            </w:pPr>
            <w:r>
              <w:t xml:space="preserve">54.735</w:t>
            </w:r>
          </w:p>
        </w:tc>
      </w:tr>
    </w:tbl>
    <w:bookmarkEnd w:id="37"/>
    <w:bookmarkStart w:id="38" w:name="ghg-protocol-compliance-scope-breakdown"/>
    <w:p>
      <w:pPr>
        <w:pStyle w:val="Heading3"/>
      </w:pPr>
      <w:r>
        <w:t xml:space="preserve">4.7. GHG Protocol Compliance: Scope Breakdown</w:t>
      </w:r>
    </w:p>
    <w:p>
      <w:pPr>
        <w:numPr>
          <w:ilvl w:val="0"/>
          <w:numId w:val="1014"/>
        </w:numPr>
        <w:pStyle w:val="Compact"/>
      </w:pPr>
      <w:r>
        <w:rPr>
          <w:bCs/>
          <w:b/>
        </w:rPr>
        <w:t xml:space="preserve">Scope 1 Emissions:</w:t>
      </w:r>
      <w:r>
        <w:t xml:space="preserve"> </w:t>
      </w:r>
      <w:r>
        <w:t xml:space="preserve">Direct emissions from owned or controlled sources. (Not explicitly quantified in this \'factory_gate\' boundary beyond material and energy inputs. Any direct emissions from fuel combustion at factory are assumed negligible or covered by broader energy factors, which would need specific data). For this PCF, we assume negligible Scope 1 as the system boundary is factory_gate focusing on product.</w:t>
      </w:r>
    </w:p>
    <w:p>
      <w:pPr>
        <w:numPr>
          <w:ilvl w:val="0"/>
          <w:numId w:val="1014"/>
        </w:numPr>
        <w:pStyle w:val="Compact"/>
      </w:pPr>
      <w:r>
        <w:rPr>
          <w:bCs/>
          <w:b/>
        </w:rPr>
        <w:t xml:space="preserve">Scope 2 Emissions:</w:t>
      </w:r>
      <w:r>
        <w:t xml:space="preserve"> </w:t>
      </w:r>
      <w:r>
        <w:t xml:space="preserve">Indirect emissions from the generation of purchased energy.</w:t>
      </w:r>
    </w:p>
    <w:p>
      <w:pPr>
        <w:numPr>
          <w:ilvl w:val="1"/>
          <w:numId w:val="1015"/>
        </w:numPr>
        <w:pStyle w:val="Compact"/>
      </w:pPr>
      <w:r>
        <w:t xml:space="preserve">Production Electricity: 2.25 kg CO2e/unit</w:t>
      </w:r>
    </w:p>
    <w:p>
      <w:pPr>
        <w:numPr>
          <w:ilvl w:val="0"/>
          <w:numId w:val="1014"/>
        </w:numPr>
        <w:pStyle w:val="Compact"/>
      </w:pPr>
      <w:r>
        <w:rPr>
          <w:bCs/>
          <w:b/>
        </w:rPr>
        <w:t xml:space="preserve">Scope 3 Emissions:</w:t>
      </w:r>
      <w:r>
        <w:t xml:space="preserve"> </w:t>
      </w:r>
      <w:r>
        <w:t xml:space="preserve">All other indirect emissions that occur in a company\'s value chain.</w:t>
      </w:r>
    </w:p>
    <w:p>
      <w:pPr>
        <w:numPr>
          <w:ilvl w:val="1"/>
          <w:numId w:val="1016"/>
        </w:numPr>
        <w:pStyle w:val="Compact"/>
      </w:pPr>
      <w:r>
        <w:t xml:space="preserve">Materials Acquisition &amp; Pre-processing: 20.625 kg CO2e/unit</w:t>
      </w:r>
    </w:p>
    <w:p>
      <w:pPr>
        <w:numPr>
          <w:ilvl w:val="1"/>
          <w:numId w:val="1016"/>
        </w:numPr>
        <w:pStyle w:val="Compact"/>
      </w:pPr>
      <w:r>
        <w:t xml:space="preserve">Transport &amp; Distribution: 7.86 kg CO2e/unit</w:t>
      </w:r>
    </w:p>
    <w:p>
      <w:pPr>
        <w:numPr>
          <w:ilvl w:val="1"/>
          <w:numId w:val="1016"/>
        </w:numPr>
        <w:pStyle w:val="Compact"/>
      </w:pPr>
      <w:r>
        <w:t xml:space="preserve">Use Phase: 25.0 kg CO2e/unit</w:t>
      </w:r>
    </w:p>
    <w:p>
      <w:pPr>
        <w:numPr>
          <w:ilvl w:val="1"/>
          <w:numId w:val="1016"/>
        </w:numPr>
        <w:pStyle w:val="Compact"/>
      </w:pPr>
      <w:r>
        <w:t xml:space="preserve">End-of-Life: -1.0 kg CO2e/unit</w:t>
      </w:r>
    </w:p>
    <w:p>
      <w:pPr>
        <w:numPr>
          <w:ilvl w:val="1"/>
          <w:numId w:val="1016"/>
        </w:numPr>
        <w:pStyle w:val="Compact"/>
      </w:pPr>
      <w:r>
        <w:rPr>
          <w:bCs/>
          <w:b/>
        </w:rPr>
        <w:t xml:space="preserve">Total Scope 3:</w:t>
      </w:r>
      <w:r>
        <w:t xml:space="preserve"> </w:t>
      </w:r>
      <w:r>
        <w:t xml:space="preserve">52.485 kg CO2e/unit</w:t>
      </w:r>
    </w:p>
    <w:p>
      <w:pPr>
        <w:pStyle w:val="FirstParagraph"/>
      </w:pPr>
      <w:r>
        <w:rPr>
          <w:bCs/>
          <w:b/>
        </w:rPr>
        <w:t xml:space="preserve">Total PCF = Scope 1 + Scope 2 + Scope 3 = 0 + 2.25 + 52.485 = 54.735 kg CO2e/unit.</w:t>
      </w:r>
    </w:p>
    <w:bookmarkEnd w:id="38"/>
    <w:bookmarkStart w:id="39" w:name="lsr-update-scope-3-compliance"/>
    <w:p>
      <w:pPr>
        <w:pStyle w:val="Heading3"/>
      </w:pPr>
      <w:r>
        <w:t xml:space="preserve">4.8. 2026 LSR Update &amp; Scope 3 Compliance</w:t>
      </w:r>
    </w:p>
    <w:p>
      <w:pPr>
        <w:numPr>
          <w:ilvl w:val="0"/>
          <w:numId w:val="1017"/>
        </w:numPr>
        <w:pStyle w:val="Compact"/>
      </w:pPr>
      <w:r>
        <w:rPr>
          <w:bCs/>
          <w:b/>
        </w:rPr>
        <w:t xml:space="preserve">Land Sector and Removals (LSR) Standard:</w:t>
      </w:r>
      <w:r>
        <w:t xml:space="preserve"> </w:t>
      </w:r>
      <w:r>
        <w:t xml:space="preserve">While specific land use change data was not provided for each material, the LSR Standard would integrate impacts from land use change, land management, and carbon removals (e.g., from bio-based materials with sustainable sourcing or carbon capture initiatives). For a full LSR compliant assessment, primary data on land use for raw material production and any associated land-based carbon removals or emissions would be required. The \'Total Carbon\' values from the BOM are assumed to implicitly include relevant upstream LSR impacts where applicable, but detailed breakdown would necessitate further data.</w:t>
      </w:r>
    </w:p>
    <w:p>
      <w:pPr>
        <w:numPr>
          <w:ilvl w:val="0"/>
          <w:numId w:val="1017"/>
        </w:numPr>
        <w:pStyle w:val="Compact"/>
      </w:pPr>
      <w:r>
        <w:rPr>
          <w:bCs/>
          <w:b/>
        </w:rPr>
        <w:t xml:space="preserve">Scope 3 Coverage (2026 Requirement &gt;95%):</w:t>
      </w:r>
      <w:r>
        <w:t xml:space="preserve"> </w:t>
      </w:r>
      <w:r>
        <w:t xml:space="preserve">This analysis aims for high Scope 3 coverage by including upstream materials, production energy (as purchased electricity and not direct factory emissions in Scope 1), transport (upstream and downstream), use phase energy, and end-of-life impacts. The detailed BOM and specific energy consumption data contribute significantly to achieving this high coverage, addressing critical categories such as purchased goods and services, upstream transportation and distribution, downstream transportation and distribution, use of sold products, and end-of-life treatment of sold products. Remaining categories not explicitly calculated here (e.g., business travel, employee commuting, investments) would be considered for organizational-level GHG inventory.</w:t>
      </w:r>
    </w:p>
    <w:p>
      <w:r>
        <w:pict>
          <v:rect style="width:0;height:1.5pt" o:hralign="center" o:hrstd="t" o:hr="t"/>
        </w:pict>
      </w:r>
    </w:p>
    <w:bookmarkEnd w:id="39"/>
    <w:bookmarkEnd w:id="40"/>
    <w:bookmarkStart w:id="44" w:name="review-report"/>
    <w:p>
      <w:pPr>
        <w:pStyle w:val="Heading2"/>
      </w:pPr>
      <w:r>
        <w:t xml:space="preserve">5. Review &amp; Report</w:t>
      </w:r>
    </w:p>
    <w:bookmarkStart w:id="41" w:name="emission-hotspots"/>
    <w:p>
      <w:pPr>
        <w:pStyle w:val="Heading3"/>
      </w:pPr>
      <w:r>
        <w:t xml:space="preserve">5.1. Emission Hotspots</w:t>
      </w:r>
    </w:p>
    <w:p>
      <w:pPr>
        <w:pStyle w:val="FirstParagraph"/>
      </w:pPr>
      <w:r>
        <w:t xml:space="preserve">Based on the calculations, the primary emission hotspots for \'jqoopioget\' are:</w:t>
      </w:r>
    </w:p>
    <w:p>
      <w:pPr>
        <w:numPr>
          <w:ilvl w:val="0"/>
          <w:numId w:val="1018"/>
        </w:numPr>
        <w:pStyle w:val="Compact"/>
      </w:pPr>
      <w:r>
        <w:rPr>
          <w:bCs/>
          <w:b/>
        </w:rPr>
        <w:t xml:space="preserve">Use Phase (25.0 kg CO2e/unit):</w:t>
      </w:r>
      <w:r>
        <w:t xml:space="preserve"> </w:t>
      </w:r>
      <w:r>
        <w:t xml:space="preserve">This is the largest single contributor, driven by the product\'s energy consumption over its lifespan. Strategies to reduce this would include improving energy efficiency, promoting renewable energy adoption by end-users, and extending product lifespan to reduce replacement frequency.</w:t>
      </w:r>
    </w:p>
    <w:p>
      <w:pPr>
        <w:numPr>
          <w:ilvl w:val="0"/>
          <w:numId w:val="1018"/>
        </w:numPr>
        <w:pStyle w:val="Compact"/>
      </w:pPr>
      <w:r>
        <w:rPr>
          <w:bCs/>
          <w:b/>
        </w:rPr>
        <w:t xml:space="preserve">Materials Acquisition &amp; Pre-processing (20.625 kg CO2e/unit):</w:t>
      </w:r>
      <w:r>
        <w:t xml:space="preserve"> </w:t>
      </w:r>
      <w:r>
        <w:t xml:space="preserve">Certain materials, particularly the Lithium-ion Battery, contribute significantly. Efforts should focus on sourcing lower-carbon materials, increasing recycled content, and exploring alternative material compositions.</w:t>
      </w:r>
    </w:p>
    <w:p>
      <w:pPr>
        <w:numPr>
          <w:ilvl w:val="0"/>
          <w:numId w:val="1018"/>
        </w:numPr>
        <w:pStyle w:val="Compact"/>
      </w:pPr>
      <w:r>
        <w:rPr>
          <w:bCs/>
          <w:b/>
        </w:rPr>
        <w:t xml:space="preserve">Transport &amp; Distribution (7.86 kg CO2e/unit):</w:t>
      </w:r>
      <w:r>
        <w:t xml:space="preserve"> </w:t>
      </w:r>
      <w:r>
        <w:t xml:space="preserve">While substantial, optimizations in logistics (e.g., modal shift to lower-emission transport, route optimization) could reduce this. The last-mile delivery component, in particular, shows a high illustrative impact, highlighting the need for detailed local logistics data and green delivery solutions.</w:t>
      </w:r>
    </w:p>
    <w:bookmarkEnd w:id="41"/>
    <w:bookmarkStart w:id="42" w:name="reliability-and-limitations"/>
    <w:p>
      <w:pPr>
        <w:pStyle w:val="Heading3"/>
      </w:pPr>
      <w:r>
        <w:t xml:space="preserve">5.2. Reliability and Limitations</w:t>
      </w:r>
    </w:p>
    <w:p>
      <w:pPr>
        <w:pStyle w:val="FirstParagraph"/>
      </w:pPr>
      <w:r>
        <w:t xml:space="preserve">The reliability of this report is high for the inputs provided, particularly due to the use of a detailed Bill of Materials with specific \'Total Carbon\' values. However, some aspects rely on illustrative industry-average emission factors where specific primary data was not available (e.g., for transport modes, grid electricity in use phase, and EoL processes). Key limitations include:</w:t>
      </w:r>
    </w:p>
    <w:p>
      <w:pPr>
        <w:numPr>
          <w:ilvl w:val="0"/>
          <w:numId w:val="1019"/>
        </w:numPr>
        <w:pStyle w:val="Compact"/>
      </w:pPr>
      <w:r>
        <w:rPr>
          <w:bCs/>
          <w:b/>
        </w:rPr>
        <w:t xml:space="preserve">Illustrative Emission Factors:</w:t>
      </w:r>
      <w:r>
        <w:t xml:space="preserve"> </w:t>
      </w:r>
      <w:r>
        <w:t xml:space="preserve">Actual emissions may vary based on specific supplier data, specific transport routes, and regional electricity mixes.</w:t>
      </w:r>
    </w:p>
    <w:p>
      <w:pPr>
        <w:numPr>
          <w:ilvl w:val="0"/>
          <w:numId w:val="1019"/>
        </w:numPr>
        <w:pStyle w:val="Compact"/>
      </w:pPr>
      <w:r>
        <w:rPr>
          <w:bCs/>
          <w:b/>
        </w:rPr>
        <w:t xml:space="preserve">Assumptions:</w:t>
      </w:r>
      <w:r>
        <w:t xml:space="preserve"> </w:t>
      </w:r>
      <w:r>
        <w:t xml:space="preserve">Assumptions regarding product weight for transport and last-mile delivery distances impact the accuracy of those stages.</w:t>
      </w:r>
    </w:p>
    <w:p>
      <w:pPr>
        <w:numPr>
          <w:ilvl w:val="0"/>
          <w:numId w:val="1019"/>
        </w:numPr>
        <w:pStyle w:val="Compact"/>
      </w:pPr>
      <w:r>
        <w:rPr>
          <w:bCs/>
          <w:b/>
        </w:rPr>
        <w:t xml:space="preserve">Scope 1 Detail:</w:t>
      </w:r>
      <w:r>
        <w:t xml:space="preserve"> </w:t>
      </w:r>
      <w:r>
        <w:t xml:space="preserve">Direct Scope 1 emissions from manufacturing (e.g., on-site fuel combustion) are not explicitly detailed, assuming their inclusion in broader energy factors or as negligible within the factory_gate boundary.</w:t>
      </w:r>
    </w:p>
    <w:p>
      <w:pPr>
        <w:numPr>
          <w:ilvl w:val="0"/>
          <w:numId w:val="1019"/>
        </w:numPr>
        <w:pStyle w:val="Compact"/>
      </w:pPr>
      <w:r>
        <w:rPr>
          <w:bCs/>
          <w:b/>
        </w:rPr>
        <w:t xml:space="preserve">LSR Detail:</w:t>
      </w:r>
      <w:r>
        <w:t xml:space="preserve"> </w:t>
      </w:r>
      <w:r>
        <w:t xml:space="preserve">While acknowledging the LSR Standard, granular data for land use change associated with specific raw materials was beyond the scope of this illustrative analysis.</w:t>
      </w:r>
    </w:p>
    <w:bookmarkEnd w:id="42"/>
    <w:bookmarkStart w:id="43" w:name="recommendations-for-nrfnmynqqj"/>
    <w:p>
      <w:pPr>
        <w:pStyle w:val="Heading3"/>
      </w:pPr>
      <w:r>
        <w:t xml:space="preserve">5.3. Recommendations for nrfnmynqqj</w:t>
      </w:r>
    </w:p>
    <w:p>
      <w:pPr>
        <w:numPr>
          <w:ilvl w:val="0"/>
          <w:numId w:val="1020"/>
        </w:numPr>
        <w:pStyle w:val="Compact"/>
      </w:pPr>
      <w:r>
        <w:rPr>
          <w:bCs/>
          <w:b/>
        </w:rPr>
        <w:t xml:space="preserve">Use Phase Decarbonization:</w:t>
      </w:r>
      <w:r>
        <w:t xml:space="preserve"> </w:t>
      </w:r>
      <w:r>
        <w:t xml:space="preserve">Prioritize R&amp;D for enhanced energy efficiency of \'jqoopioget\'. Explore partnerships for "renewable-ready" product designs or services that encourage green energy use by consumers.</w:t>
      </w:r>
    </w:p>
    <w:p>
      <w:pPr>
        <w:numPr>
          <w:ilvl w:val="0"/>
          <w:numId w:val="1020"/>
        </w:numPr>
        <w:pStyle w:val="Compact"/>
      </w:pPr>
      <w:r>
        <w:rPr>
          <w:bCs/>
          <w:b/>
        </w:rPr>
        <w:t xml:space="preserve">Material Circularity:</w:t>
      </w:r>
      <w:r>
        <w:t xml:space="preserve"> </w:t>
      </w:r>
      <w:r>
        <w:t xml:space="preserve">Investigate deeper into the supply chain for high-impact materials (e.g., Lithium-ion Battery, Aluminium) to identify lower-carbon alternatives or secure higher recycled content. Strengthen the \'Product take-back and refurbishment program\' (`dxjmkfrokr`) to maximize material recovery and reuse.</w:t>
      </w:r>
    </w:p>
    <w:p>
      <w:pPr>
        <w:numPr>
          <w:ilvl w:val="0"/>
          <w:numId w:val="1020"/>
        </w:numPr>
        <w:pStyle w:val="Compact"/>
      </w:pPr>
      <w:r>
        <w:rPr>
          <w:bCs/>
          <w:b/>
        </w:rPr>
        <w:t xml:space="preserve">Logistics Optimization:</w:t>
      </w:r>
      <w:r>
        <w:t xml:space="preserve"> </w:t>
      </w:r>
      <w:r>
        <w:t xml:space="preserve">Conduct a detailed assessment of transport routes and modes for both upstream and downstream logistics. Explore opportunities for modal shifts (e.g., rail or sea for longer distances where feasible), optimize load factors, and collaborate with low-emission logistics providers, especially for last-mile delivery.</w:t>
      </w:r>
    </w:p>
    <w:p>
      <w:pPr>
        <w:numPr>
          <w:ilvl w:val="0"/>
          <w:numId w:val="1020"/>
        </w:numPr>
        <w:pStyle w:val="Compact"/>
      </w:pPr>
      <w:r>
        <w:rPr>
          <w:bCs/>
          <w:b/>
        </w:rPr>
        <w:t xml:space="preserve">Data Enhancement:</w:t>
      </w:r>
      <w:r>
        <w:t xml:space="preserve"> </w:t>
      </w:r>
      <w:r>
        <w:t xml:space="preserve">Continuously improve data collection for primary activity data, especially for specific emission factors across the supply chain, to enhance the accuracy and robustness of future PCF analyses.</w:t>
      </w:r>
    </w:p>
    <w:p>
      <w:pPr>
        <w:numPr>
          <w:ilvl w:val="0"/>
          <w:numId w:val="1020"/>
        </w:numPr>
        <w:pStyle w:val="Compact"/>
      </w:pPr>
      <w:r>
        <w:rPr>
          <w:bCs/>
          <w:b/>
        </w:rPr>
        <w:t xml:space="preserve">Supplier Engagement:</w:t>
      </w:r>
      <w:r>
        <w:t xml:space="preserve"> </w:t>
      </w:r>
      <w:r>
        <w:t xml:space="preserve">Engage with suppliers to collect their Scope 1, 2, and relevant Scope 3 data to refine upstream Scope 3 calculations.</w:t>
      </w:r>
    </w:p>
    <w:p>
      <w:r>
        <w:pict>
          <v:rect style="width:0;height:1.5pt" o:hralign="center" o:hrstd="t" o:hr="t"/>
        </w:pict>
      </w:r>
    </w:p>
    <w:bookmarkEnd w:id="43"/>
    <w:bookmarkEnd w:id="44"/>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jqoopioget - nrfnmynqqj</dc:title>
  <dc:creator/>
  <dc:description>Detailed Product Carbon Footprint (PCF) analysis report for jqoopioget by nrfnmynqqj, adhering to GHG Protocol and 2026 LSR update, performed by krhdqpngyy.</dc:description>
  <dc:language>en</dc:language>
  <cp:keywords/>
  <dcterms:created xsi:type="dcterms:W3CDTF">2026-08-30T08:54:32Z</dcterms:created>
  <dcterms:modified xsi:type="dcterms:W3CDTF">2026-08-30T08:54:32Z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