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jqgpgvtldh</w:t>
      </w:r>
      <w:r>
        <w:t xml:space="preserve"> </w:t>
      </w:r>
      <w:r>
        <w:t xml:space="preserve">-</w:t>
      </w:r>
      <w:r>
        <w:t xml:space="preserve"> </w:t>
      </w:r>
      <w:r>
        <w:t xml:space="preserve">nuufwfylst</w:t>
      </w:r>
    </w:p>
    <w:p>
      <w:pPr>
        <w:pStyle w:val="FirstParagraph"/>
      </w:pPr>
      <w:r>
        <w:t xml:space="preserve">carboncalcpcf.com</w:t>
      </w:r>
    </w:p>
    <w:bookmarkStart w:id="20" w:name="X4e3d6ef4dc031d2c064bede6ab1f21ac428b3a1"/>
    <w:p>
      <w:pPr>
        <w:pStyle w:val="Heading1"/>
      </w:pPr>
      <w:r>
        <w:t xml:space="preserve">Product Carbon Footprint Analysis for jqgpgvtldh</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nuufwfylst</w:t>
      </w:r>
    </w:p>
    <w:p>
      <w:pPr>
        <w:pStyle w:val="BodyText"/>
      </w:pPr>
      <w:r>
        <w:rPr>
          <w:bCs/>
          <w:b/>
        </w:rPr>
        <w:t xml:space="preserve">Senior Sustainability Consultant:</w:t>
      </w:r>
      <w:r>
        <w:t xml:space="preserve"> </w:t>
      </w:r>
      <w:r>
        <w:t xml:space="preserve">rkuulrfmus</w:t>
      </w:r>
    </w:p>
    <w:p>
      <w:pPr>
        <w:pStyle w:val="BodyText"/>
      </w:pPr>
      <w:r>
        <w:t xml:space="preserve">This report is generated based on available data and industry standards. While every effort has been made to ensure accuracy, specific conditions and unquantifiable factors may influence the actual carbon footprint.</w:t>
      </w:r>
    </w:p>
    <w:bookmarkEnd w:id="20"/>
    <w:bookmarkStart w:id="52" w:name="X9cddee247e2e0b4282ad3794edfa7ca937c8a7a"/>
    <w:p>
      <w:pPr>
        <w:pStyle w:val="Heading1"/>
      </w:pPr>
      <w:r>
        <w:t xml:space="preserve">Product Carbon Footprint Analysis for jqgpgvtldh</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jqgpgvtldh, manufactured by nuufwfylst. The analysis, conducted by rkuulrfmus, Senior Sustainability Consultant, adheres to the GHG Protocol standards, providing a comprehensive assessment across the product\'s lifecycle from raw material acquisition to end-of-life. The total carbon footprint for one functional unit of jqgpgvtldh is calculated to be approximately 25.53 kg CO2e, with the use phase being the most significant contributor. This report identifies key emission hotspots and offers a foundational understanding for strategic decarbonization efforts.</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Functional Unit</w:t>
      </w:r>
    </w:p>
    <w:p>
      <w:pPr>
        <w:pStyle w:val="FirstParagraph"/>
      </w:pPr>
      <w:r>
        <w:t xml:space="preserve">The functional unit for this Product Carbon Footprint (PCF) analysis is defined as</w:t>
      </w:r>
      <w:r>
        <w:t xml:space="preserve"> </w:t>
      </w:r>
      <w:r>
        <w:rPr>
          <w:bCs/>
          <w:b/>
        </w:rPr>
        <w:t xml:space="preserve">1.0 unit of jqgpgvtldh</w:t>
      </w:r>
      <w:r>
        <w:t xml:space="preserve">. This unit serves as the reference basis for quantifying all associated greenhouse gas (GHG) emissions throughout the product\'s life cycle.</w:t>
      </w:r>
    </w:p>
    <w:bookmarkEnd w:id="22"/>
    <w:bookmarkStart w:id="23" w:name="system-boundary"/>
    <w:p>
      <w:pPr>
        <w:pStyle w:val="Heading3"/>
      </w:pPr>
      <w:r>
        <w:t xml:space="preserve">System Boundary</w:t>
      </w:r>
    </w:p>
    <w:p>
      <w:pPr>
        <w:pStyle w:val="FirstParagraph"/>
      </w:pPr>
      <w:r>
        <w:t xml:space="preserve">This PCF analysis employs a "cradle-to-grave" approach, encompassing all stages from raw material extraction to the product\'s end-of-life. The primary system boundary focus for production is "factory_gate," capturing all upstream emissions until the product leaves the manufacturing facility. Downstream stages, including transportation, use, and end-of-life, are also included to provide a holistic view of the product\'s environmental impact.</w:t>
      </w:r>
    </w:p>
    <w:bookmarkEnd w:id="23"/>
    <w:bookmarkStart w:id="24"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4"/>
    <w:bookmarkStart w:id="25" w:name="accounting-standard"/>
    <w:p>
      <w:pPr>
        <w:pStyle w:val="Heading3"/>
      </w:pPr>
      <w:r>
        <w:t xml:space="preserve">Accounting Standard</w:t>
      </w:r>
    </w:p>
    <w:p>
      <w:pPr>
        <w:pStyle w:val="FirstParagraph"/>
      </w:pPr>
      <w:r>
        <w:t xml:space="preserve">This Product Carbon Footprint analysis is conducted in accordance with the</w:t>
      </w:r>
      <w:r>
        <w:t xml:space="preserve"> </w:t>
      </w:r>
      <w:r>
        <w:rPr>
          <w:bCs/>
          <w:b/>
        </w:rPr>
        <w:t xml:space="preserve">GHG Protocol: Product Life Cycle Accounting and Reporting Standard</w:t>
      </w:r>
      <w:r>
        <w:t xml:space="preserve">. This standard provides a robust framework for quantifying and reporting GHG emissions associated with products across their life cycle. Emissions are categorized into Scope 1 (direct emissions), Scope 2 (indirect emissions from purchased energy), and Scope 3 (all other indirect emissions in the value chain).</w:t>
      </w:r>
    </w:p>
    <w:bookmarkEnd w:id="25"/>
    <w:bookmarkStart w:id="26" w:name="allocation"/>
    <w:p>
      <w:pPr>
        <w:pStyle w:val="Heading3"/>
      </w:pPr>
      <w:r>
        <w:t xml:space="preserve">Allocation</w:t>
      </w:r>
    </w:p>
    <w:p>
      <w:pPr>
        <w:pStyle w:val="FirstParagraph"/>
      </w:pPr>
      <w:r>
        <w:t xml:space="preserve">For the purpose of this single-product analysis, emissions are primarily attributed directly to the functional unit. In cases where shared processes or facilities might exist (e.g., utility infrastructure), emissions are allocated on a mass-based approach, consistent with GHG Protocol guidelines for product-level assessments.</w:t>
      </w:r>
    </w:p>
    <w:p>
      <w:r>
        <w:pict>
          <v:rect style="width:0;height:1.5pt" o:hralign="center" o:hrstd="t" o:hr="t"/>
        </w:pict>
      </w:r>
    </w:p>
    <w:bookmarkEnd w:id="26"/>
    <w:bookmarkEnd w:id="27"/>
    <w:bookmarkStart w:id="35" w:name="X668a29dea6996859d52024a913312988ccfa3c9"/>
    <w:p>
      <w:pPr>
        <w:pStyle w:val="Heading2"/>
      </w:pPr>
      <w:r>
        <w:t xml:space="preserve">2. Map Lifecycle (LCI Inventory Stages) &amp; 3. Collect Data</w:t>
      </w:r>
    </w:p>
    <w:p>
      <w:pPr>
        <w:pStyle w:val="FirstParagraph"/>
      </w:pPr>
      <w:r>
        <w:t xml:space="preserve">The lifecycle of jqgpgvtldh is mapped across five main stages, with data collected from the provided parameters and supplemented with industry-standard emission factors where specific data was not available. All emissions are categorized according to the GHG Protocol\'s Scope 1, Scope 2, and Scope 3 definitions.</w:t>
      </w:r>
    </w:p>
    <w:bookmarkStart w:id="28" w:name="Xc4efc2e4880cdf3ed56af2b1e2179cbfbcf2558"/>
    <w:p>
      <w:pPr>
        <w:pStyle w:val="Heading3"/>
      </w:pPr>
      <w:r>
        <w:t xml:space="preserve">Detailed Bill of Materials (BOM) - (Upstream - Scope 3, Category 1: Purchased Goods and Services)</w:t>
      </w:r>
    </w:p>
    <w:p>
      <w:pPr>
        <w:pStyle w:val="FirstParagraph"/>
      </w:pPr>
      <w:r>
        <w:t xml:space="preserve">The following Bill of Materials (dpeusjvl) provides a high-accuracy basis for calculating the material-related carbon impact. The \'Total Carbon\' values represent the upstream emissions (extraction, processing, manufacturing) for each material component, as provided.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0.35</w:t>
            </w:r>
          </w:p>
        </w:tc>
        <w:tc>
          <w:tcPr/>
          <w:p>
            <w:pPr>
              <w:pStyle w:val="Compact"/>
              <w:jc w:val="left"/>
            </w:pPr>
            <w:r>
              <w:t xml:space="preserve">kg</w:t>
            </w:r>
          </w:p>
        </w:tc>
        <w:tc>
          <w:tcPr/>
          <w:p>
            <w:pPr>
              <w:pStyle w:val="Compact"/>
              <w:jc w:val="left"/>
            </w:pPr>
            <w:r>
              <w:t xml:space="preserve">2.5</w:t>
            </w:r>
          </w:p>
        </w:tc>
        <w:tc>
          <w:tcPr/>
          <w:p>
            <w:pPr>
              <w:pStyle w:val="Compact"/>
              <w:jc w:val="left"/>
            </w:pPr>
            <w:r>
              <w:t xml:space="preserve">0.875</w:t>
            </w:r>
          </w:p>
        </w:tc>
      </w:tr>
      <w:tr>
        <w:tc>
          <w:tcPr/>
          <w:p>
            <w:pPr>
              <w:pStyle w:val="Compact"/>
              <w:jc w:val="left"/>
            </w:pPr>
            <w:r>
              <w:t xml:space="preserve">M2</w:t>
            </w:r>
          </w:p>
        </w:tc>
        <w:tc>
          <w:tcPr/>
          <w:p>
            <w:pPr>
              <w:pStyle w:val="Compact"/>
              <w:jc w:val="left"/>
            </w:pPr>
            <w:r>
              <w:t xml:space="preserve">Lithium-ion Battery</w:t>
            </w:r>
          </w:p>
        </w:tc>
        <w:tc>
          <w:tcPr/>
          <w:p>
            <w:pPr>
              <w:pStyle w:val="Compact"/>
              <w:jc w:val="left"/>
            </w:pPr>
            <w:r>
              <w:t xml:space="preserve">Metals</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20.0</w:t>
            </w:r>
          </w:p>
        </w:tc>
        <w:tc>
          <w:tcPr/>
          <w:p>
            <w:pPr>
              <w:pStyle w:val="Compact"/>
              <w:jc w:val="left"/>
            </w:pPr>
            <w:r>
              <w:t xml:space="preserve">3.000</w:t>
            </w:r>
          </w:p>
        </w:tc>
      </w:tr>
      <w:tr>
        <w:tc>
          <w:tcPr/>
          <w:p>
            <w:pPr>
              <w:pStyle w:val="Compact"/>
              <w:jc w:val="left"/>
            </w:pPr>
            <w:r>
              <w:t xml:space="preserve">M3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1.500</w:t>
            </w:r>
          </w:p>
        </w:tc>
      </w:tr>
      <w:tr>
        <w:tc>
          <w:tcPr/>
          <w:p>
            <w:pPr>
              <w:pStyle w:val="Compact"/>
              <w:jc w:val="left"/>
            </w:pPr>
            <w:r>
              <w:t xml:space="preserve">M4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0.200</w:t>
            </w:r>
          </w:p>
        </w:tc>
      </w:tr>
      <w:tr>
        <w:tc>
          <w:tcPr/>
          <w:p>
            <w:pPr>
              <w:pStyle w:val="Compact"/>
              <w:jc w:val="left"/>
            </w:pPr>
            <w:r>
              <w:t xml:space="preserve">M5</w:t>
            </w:r>
          </w:p>
        </w:tc>
        <w:tc>
          <w:tcPr/>
          <w:p>
            <w:pPr>
              <w:pStyle w:val="Compact"/>
              <w:jc w:val="left"/>
            </w:pPr>
            <w:r>
              <w:t xml:space="preserve">Cardboard Packaging</w:t>
            </w:r>
          </w:p>
        </w:tc>
        <w:tc>
          <w:tcPr/>
          <w:p>
            <w:pPr>
              <w:pStyle w:val="Compact"/>
              <w:jc w:val="left"/>
            </w:pPr>
            <w:r>
              <w:t xml:space="preserve">Paper &amp; Board</w:t>
            </w:r>
          </w:p>
        </w:tc>
        <w:tc>
          <w:tcPr/>
          <w:p>
            <w:pPr>
              <w:pStyle w:val="Compact"/>
              <w:jc w:val="left"/>
            </w:pPr>
            <w:r>
              <w:t xml:space="preserve">Pulping &amp; Forming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0.200</w:t>
            </w:r>
          </w:p>
        </w:tc>
      </w:tr>
      <w:tr>
        <w:tc>
          <w:tcPr/>
          <w:p>
            <w:pPr>
              <w:pStyle w:val="Compact"/>
              <w:jc w:val="left"/>
            </w:pPr>
            <w:r>
              <w:t xml:space="preserve">M6</w:t>
            </w:r>
          </w:p>
        </w:tc>
        <w:tc>
          <w:tcPr/>
          <w:p>
            <w:pPr>
              <w:pStyle w:val="Compact"/>
              <w:jc w:val="left"/>
            </w:pPr>
            <w:r>
              <w:t xml:space="preserve">Manual (Recycled Paper)</w:t>
            </w:r>
          </w:p>
        </w:tc>
        <w:tc>
          <w:tcPr/>
          <w:p>
            <w:pPr>
              <w:pStyle w:val="Compact"/>
              <w:jc w:val="left"/>
            </w:pPr>
            <w:r>
              <w:t xml:space="preserve">Paper &amp; Board</w:t>
            </w:r>
          </w:p>
        </w:tc>
        <w:tc>
          <w:tcPr/>
          <w:p>
            <w:pPr>
              <w:pStyle w:val="Compact"/>
              <w:jc w:val="left"/>
            </w:pPr>
            <w:r>
              <w:t xml:space="preserve">Printing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0.010</w:t>
            </w:r>
          </w:p>
        </w:tc>
      </w:tr>
      <w:tr>
        <w:tc>
          <w:tcPr/>
          <w:p>
            <w:pPr>
              <w:pStyle w:val="Compact"/>
              <w:jc w:val="left"/>
            </w:pPr>
            <w:r>
              <w:t xml:space="preserve">M7</w:t>
            </w:r>
          </w:p>
        </w:tc>
        <w:tc>
          <w:tcPr/>
          <w:p>
            <w:pPr>
              <w:pStyle w:val="Compact"/>
              <w:jc w:val="left"/>
            </w:pPr>
            <w:r>
              <w:t xml:space="preserve">Adhesives</w:t>
            </w:r>
          </w:p>
        </w:tc>
        <w:tc>
          <w:tcPr/>
          <w:p>
            <w:pPr>
              <w:pStyle w:val="Compact"/>
              <w:jc w:val="left"/>
            </w:pPr>
            <w:r>
              <w:t xml:space="preserve">Chemicals</w:t>
            </w:r>
          </w:p>
        </w:tc>
        <w:tc>
          <w:tcPr/>
          <w:p>
            <w:pPr>
              <w:pStyle w:val="Compact"/>
              <w:jc w:val="left"/>
            </w:pPr>
            <w:r>
              <w:t xml:space="preserve">Blending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0.090</w:t>
            </w:r>
          </w:p>
        </w:tc>
      </w:tr>
      <w:tr>
        <w:tc>
          <w:tcPr>
            <w:gridSpan w:val="4"/>
          </w:tcPr>
          <w:p>
            <w:pPr>
              <w:pStyle w:val="Compact"/>
              <w:jc w:val="left"/>
            </w:pPr>
            <w:r>
              <w:rPr>
                <w:bCs/>
                <w:b/>
              </w:rPr>
              <w:t xml:space="preserve">Total Product Weight (1 unit of jqgpgvtldh)</w:t>
            </w:r>
          </w:p>
        </w:tc>
        <w:tc>
          <w:tcPr/>
          <w:p>
            <w:pPr>
              <w:pStyle w:val="Compact"/>
              <w:jc w:val="left"/>
            </w:pPr>
            <w:r>
              <w:rPr>
                <w:bCs/>
                <w:b/>
              </w:rPr>
              <w:t xml:space="preserve">0.90 kg</w:t>
            </w:r>
          </w:p>
        </w:tc>
        <w:tc>
          <w:tcPr>
            <w:gridSpan w:val="2"/>
          </w:tcPr>
          <w:p>
            <w:pPr>
              <w:pStyle w:val="Compact"/>
            </w:pPr>
          </w:p>
        </w:tc>
        <w:tc>
          <w:tcPr/>
          <w:p>
            <w:pPr>
              <w:pStyle w:val="Compact"/>
              <w:jc w:val="left"/>
            </w:pPr>
            <w:r>
              <w:rPr>
                <w:bCs/>
                <w:b/>
              </w:rPr>
              <w:t xml:space="preserve">5.875 kg CO2e</w:t>
            </w:r>
          </w:p>
        </w:tc>
      </w:tr>
    </w:tbl>
    <w:p>
      <w:pPr>
        <w:pStyle w:val="BodyText"/>
      </w:pPr>
      <w:r>
        <w:t xml:space="preserve">Total raw material emissions for one unit of jqgpgvtldh: 5.875 kg CO2e. This falls under Scope 3, Category 1: Purchased Goods and Services.</w:t>
      </w:r>
    </w:p>
    <w:bookmarkEnd w:id="28"/>
    <w:bookmarkStart w:id="29" w:name="X47405be7cd69cd2d56548f8e01b69da2673f9fd"/>
    <w:p>
      <w:pPr>
        <w:pStyle w:val="Heading3"/>
      </w:pPr>
      <w:r>
        <w:t xml:space="preserve">Manufacturing Phase (Core Operations - Scope 2)</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Energy Intensity (eoglgtevzt):</w:t>
      </w:r>
      <w:r>
        <w:t xml:space="preserve"> </w:t>
      </w:r>
      <w:r>
        <w:t xml:space="preserve">50 kWh/unit</w:t>
      </w:r>
    </w:p>
    <w:p>
      <w:pPr>
        <w:numPr>
          <w:ilvl w:val="0"/>
          <w:numId w:val="1002"/>
        </w:numPr>
        <w:pStyle w:val="Compact"/>
      </w:pPr>
      <w:r>
        <w:rPr>
          <w:bCs/>
          <w:b/>
        </w:rPr>
        <w:t xml:space="preserve">Renewable Energy Usage (dpyijmjfdq):</w:t>
      </w:r>
      <w:r>
        <w:t xml:space="preserve"> </w:t>
      </w:r>
      <w:r>
        <w:t xml:space="preserve">75%</w:t>
      </w:r>
    </w:p>
    <w:p>
      <w:pPr>
        <w:numPr>
          <w:ilvl w:val="0"/>
          <w:numId w:val="1002"/>
        </w:numPr>
        <w:pStyle w:val="Compact"/>
      </w:pPr>
      <w:r>
        <w:rPr>
          <w:bCs/>
          <w:b/>
        </w:rPr>
        <w:t xml:space="preserve">China Grid Electricity Emission Factor:</w:t>
      </w:r>
      <w:r>
        <w:t xml:space="preserve"> </w:t>
      </w:r>
      <w:r>
        <w:t xml:space="preserve">0.557 kg CO2e/kWh (national average for 2021, used for non-renewable portion)</w:t>
      </w:r>
    </w:p>
    <w:p>
      <w:pPr>
        <w:numPr>
          <w:ilvl w:val="0"/>
          <w:numId w:val="1002"/>
        </w:numPr>
        <w:pStyle w:val="Compact"/>
      </w:pPr>
      <w:r>
        <w:rPr>
          <w:bCs/>
          <w:b/>
        </w:rPr>
        <w:t xml:space="preserve">Renewable Energy Emission Factor:</w:t>
      </w:r>
      <w:r>
        <w:t xml:space="preserve"> </w:t>
      </w:r>
      <w:r>
        <w:t xml:space="preserve">0 kg CO2e/kWh (assuming purchased with certificates, market-based approach)</w:t>
      </w:r>
    </w:p>
    <w:bookmarkEnd w:id="29"/>
    <w:bookmarkStart w:id="32" w:name="X2fd6f11c1e6c14edc8bd7bb2f0036a4a6bc2dec"/>
    <w:p>
      <w:pPr>
        <w:pStyle w:val="Heading3"/>
      </w:pPr>
      <w:r>
        <w:t xml:space="preserve">Transport Phase (Scope 3, Categories 4 &amp; 9: Upstream and Downstream Transportation)</w:t>
      </w:r>
    </w:p>
    <w:p>
      <w:pPr>
        <w:pStyle w:val="FirstParagraph"/>
      </w:pPr>
      <w:r>
        <w:t xml:space="preserve">The total weight of the finished product is 0.90 kg.</w:t>
      </w:r>
    </w:p>
    <w:bookmarkStart w:id="30" w:name="X86c0f34a75b294f5538715cb6d8081b06081652"/>
    <w:p>
      <w:pPr>
        <w:pStyle w:val="Heading4"/>
      </w:pPr>
      <w:r>
        <w:t xml:space="preserve">Upstream Transportation (Materials to Factory)</w:t>
      </w:r>
    </w:p>
    <w:p>
      <w:pPr>
        <w:numPr>
          <w:ilvl w:val="0"/>
          <w:numId w:val="1003"/>
        </w:numPr>
        <w:pStyle w:val="Compact"/>
      </w:pPr>
      <w:r>
        <w:rPr>
          <w:bCs/>
          <w:b/>
        </w:rPr>
        <w:t xml:space="preserve">Transport Mode (Select Mode):</w:t>
      </w:r>
      <w:r>
        <w:t xml:space="preserve"> </w:t>
      </w:r>
      <w:r>
        <w:t xml:space="preserve">Ocean Freight, Truck (HGV)</w:t>
      </w:r>
    </w:p>
    <w:p>
      <w:pPr>
        <w:numPr>
          <w:ilvl w:val="0"/>
          <w:numId w:val="1003"/>
        </w:numPr>
        <w:pStyle w:val="Compact"/>
      </w:pPr>
      <w:r>
        <w:rPr>
          <w:bCs/>
          <w:b/>
        </w:rPr>
        <w:t xml:space="preserve">Transport Distance (lmlgnrkngi):</w:t>
      </w:r>
      <w:r>
        <w:t xml:space="preserve"> </w:t>
      </w:r>
      <w:r>
        <w:t xml:space="preserve">20,000 km (Ocean), 500 km (Truck)</w:t>
      </w:r>
    </w:p>
    <w:p>
      <w:pPr>
        <w:numPr>
          <w:ilvl w:val="0"/>
          <w:numId w:val="1003"/>
        </w:numPr>
        <w:pStyle w:val="Compact"/>
      </w:pPr>
      <w:r>
        <w:rPr>
          <w:bCs/>
          <w:b/>
        </w:rPr>
        <w:t xml:space="preserve">Ocean Freight Emission Factor:</w:t>
      </w:r>
      <w:r>
        <w:t xml:space="preserve"> </w:t>
      </w:r>
      <w:r>
        <w:t xml:space="preserve">0.016 kg CO2e/tonne-km</w:t>
      </w:r>
    </w:p>
    <w:p>
      <w:pPr>
        <w:numPr>
          <w:ilvl w:val="0"/>
          <w:numId w:val="1003"/>
        </w:numPr>
        <w:pStyle w:val="Compact"/>
      </w:pPr>
      <w:r>
        <w:rPr>
          <w:bCs/>
          <w:b/>
        </w:rPr>
        <w:t xml:space="preserve">Truck (HGV) Emission Factor (Europe Focused):</w:t>
      </w:r>
      <w:r>
        <w:t xml:space="preserve"> </w:t>
      </w:r>
      <w:r>
        <w:t xml:space="preserve">0.08 kg CO2e/tonne-km (general average)</w:t>
      </w:r>
    </w:p>
    <w:bookmarkEnd w:id="30"/>
    <w:bookmarkStart w:id="31" w:name="X491524b2082f7a27511112a044f2b9131cb7a03"/>
    <w:p>
      <w:pPr>
        <w:pStyle w:val="Heading4"/>
      </w:pPr>
      <w:r>
        <w:t xml:space="preserve">Downstream Transportation (Product to Customer - Last-Mile)</w:t>
      </w:r>
    </w:p>
    <w:p>
      <w:pPr>
        <w:numPr>
          <w:ilvl w:val="0"/>
          <w:numId w:val="1004"/>
        </w:numPr>
        <w:pStyle w:val="Compact"/>
      </w:pPr>
      <w:r>
        <w:rPr>
          <w:bCs/>
          <w:b/>
        </w:rPr>
        <w:t xml:space="preserve">Last-Mile Delivery Channel (Delivery Type):</w:t>
      </w:r>
      <w:r>
        <w:t xml:space="preserve"> </w:t>
      </w:r>
      <w:r>
        <w:t xml:space="preserve">Van Delivery</w:t>
      </w:r>
    </w:p>
    <w:p>
      <w:pPr>
        <w:numPr>
          <w:ilvl w:val="0"/>
          <w:numId w:val="1004"/>
        </w:numPr>
        <w:pStyle w:val="Compact"/>
      </w:pPr>
      <w:r>
        <w:rPr>
          <w:bCs/>
          <w:b/>
        </w:rPr>
        <w:t xml:space="preserve">Last-Mile Delivery Emission Factor:</w:t>
      </w:r>
      <w:r>
        <w:t xml:space="preserve"> </w:t>
      </w:r>
      <w:r>
        <w:t xml:space="preserve">0.2 kg CO2e per parcel (approximate per unit)</w:t>
      </w:r>
    </w:p>
    <w:bookmarkEnd w:id="31"/>
    <w:bookmarkEnd w:id="32"/>
    <w:bookmarkStart w:id="33" w:name="Xb6379c31f00345ccff01e90b5cbf0314a51933a"/>
    <w:p>
      <w:pPr>
        <w:pStyle w:val="Heading3"/>
      </w:pPr>
      <w:r>
        <w:t xml:space="preserve">Use Phase (Downstream - Scope 3, Category 11: Use of Sold Products)</w:t>
      </w:r>
    </w:p>
    <w:p>
      <w:pPr>
        <w:numPr>
          <w:ilvl w:val="0"/>
          <w:numId w:val="1005"/>
        </w:numPr>
        <w:pStyle w:val="Compact"/>
      </w:pPr>
      <w:r>
        <w:rPr>
          <w:bCs/>
          <w:b/>
        </w:rPr>
        <w:t xml:space="preserve">Product Lifespan (nywwdwykhg):</w:t>
      </w:r>
      <w:r>
        <w:t xml:space="preserve"> </w:t>
      </w:r>
      <w:r>
        <w:t xml:space="preserve">5 years</w:t>
      </w:r>
    </w:p>
    <w:p>
      <w:pPr>
        <w:numPr>
          <w:ilvl w:val="0"/>
          <w:numId w:val="1005"/>
        </w:numPr>
        <w:pStyle w:val="Compact"/>
      </w:pPr>
      <w:r>
        <w:rPr>
          <w:bCs/>
          <w:b/>
        </w:rPr>
        <w:t xml:space="preserve">Energy Consumption in Use (mxwmmknvmx):</w:t>
      </w:r>
      <w:r>
        <w:t xml:space="preserve"> </w:t>
      </w:r>
      <w:r>
        <w:t xml:space="preserve">10 kWh/year</w:t>
      </w:r>
    </w:p>
    <w:p>
      <w:pPr>
        <w:numPr>
          <w:ilvl w:val="0"/>
          <w:numId w:val="1005"/>
        </w:numPr>
        <w:pStyle w:val="Compact"/>
      </w:pPr>
      <w:r>
        <w:rPr>
          <w:bCs/>
          <w:b/>
        </w:rPr>
        <w:t xml:space="preserve">EU Average Grid Electricity Emission Factor:</w:t>
      </w:r>
      <w:r>
        <w:t xml:space="preserve"> </w:t>
      </w:r>
      <w:r>
        <w:t xml:space="preserve">0.238 kg CO2e/kWh (for 2019, reflecting European consumer use)</w:t>
      </w:r>
    </w:p>
    <w:bookmarkEnd w:id="33"/>
    <w:bookmarkStart w:id="34" w:name="X021bf14118a32e435e598cdecfb2086de6656c4"/>
    <w:p>
      <w:pPr>
        <w:pStyle w:val="Heading3"/>
      </w:pPr>
      <w:r>
        <w:t xml:space="preserve">End-of-Life (EoL) Phase (Downstream - Scope 3, Category 12: End-of-Life Treatment of Sold Products)</w:t>
      </w:r>
    </w:p>
    <w:p>
      <w:pPr>
        <w:numPr>
          <w:ilvl w:val="0"/>
          <w:numId w:val="1006"/>
        </w:numPr>
        <w:pStyle w:val="Compact"/>
      </w:pPr>
      <w:r>
        <w:rPr>
          <w:bCs/>
          <w:b/>
        </w:rPr>
        <w:t xml:space="preserve">Recyclability Percentage (jvwipzkssu):</w:t>
      </w:r>
      <w:r>
        <w:t xml:space="preserve"> </w:t>
      </w:r>
      <w:r>
        <w:t xml:space="preserve">70%</w:t>
      </w:r>
    </w:p>
    <w:p>
      <w:pPr>
        <w:numPr>
          <w:ilvl w:val="0"/>
          <w:numId w:val="1006"/>
        </w:numPr>
        <w:pStyle w:val="Compact"/>
      </w:pPr>
      <w:r>
        <w:rPr>
          <w:bCs/>
          <w:b/>
        </w:rPr>
        <w:t xml:space="preserve">Circular/Take-back Programs (porvttmnmn):</w:t>
      </w:r>
      <w:r>
        <w:t xml:space="preserve"> </w:t>
      </w:r>
      <w:r>
        <w:t xml:space="preserve">Yes, an established take-back program is in place.</w:t>
      </w:r>
    </w:p>
    <w:p>
      <w:pPr>
        <w:numPr>
          <w:ilvl w:val="0"/>
          <w:numId w:val="1006"/>
        </w:numPr>
        <w:pStyle w:val="Compact"/>
      </w:pPr>
      <w:r>
        <w:rPr>
          <w:bCs/>
          <w:b/>
        </w:rPr>
        <w:t xml:space="preserve">Product Weight for EoL:</w:t>
      </w:r>
      <w:r>
        <w:t xml:space="preserve"> </w:t>
      </w:r>
      <w:r>
        <w:t xml:space="preserve">0.90 kg</w:t>
      </w:r>
    </w:p>
    <w:p>
      <w:pPr>
        <w:numPr>
          <w:ilvl w:val="0"/>
          <w:numId w:val="1006"/>
        </w:numPr>
        <w:pStyle w:val="Compact"/>
      </w:pPr>
      <w:r>
        <w:rPr>
          <w:bCs/>
          <w:b/>
        </w:rPr>
        <w:t xml:space="preserve">Waste Incineration Emission Factor:</w:t>
      </w:r>
      <w:r>
        <w:t xml:space="preserve"> </w:t>
      </w:r>
      <w:r>
        <w:t xml:space="preserve">1 kg CO2e/kg waste (for non-recycled portion)</w:t>
      </w:r>
    </w:p>
    <w:p>
      <w:r>
        <w:pict>
          <v:rect style="width:0;height:1.5pt" o:hralign="center" o:hrstd="t" o:hr="t"/>
        </w:pict>
      </w:r>
    </w:p>
    <w:bookmarkEnd w:id="34"/>
    <w:bookmarkEnd w:id="35"/>
    <w:bookmarkStart w:id="47" w:name="calculate-emissions"/>
    <w:p>
      <w:pPr>
        <w:pStyle w:val="Heading2"/>
      </w:pPr>
      <w:r>
        <w:t xml:space="preserve">4. Calculate Emissions</w:t>
      </w:r>
    </w:p>
    <w:p>
      <w:pPr>
        <w:pStyle w:val="FirstParagraph"/>
      </w:pPr>
      <w:r>
        <w:t xml:space="preserve">Emissions are calculated for each lifecycle stage and categorized into the respective GHG Protocol scopes.</w:t>
      </w:r>
    </w:p>
    <w:bookmarkStart w:id="36" w:name="X1ad9a0c33edfd883cba8e7eb5d0853356860b8a"/>
    <w:p>
      <w:pPr>
        <w:pStyle w:val="Heading3"/>
      </w:pPr>
      <w:r>
        <w:t xml:space="preserve">Material Acquisition &amp; Pre-processing (Scope 3, Category 1)</w:t>
      </w:r>
    </w:p>
    <w:p>
      <w:pPr>
        <w:pStyle w:val="FirstParagraph"/>
      </w:pPr>
      <w:r>
        <w:t xml:space="preserve">Based on the provided BOM, the sum of \'Total Carbon\' for all materials directly accounts for their upstream emissions.</w:t>
      </w:r>
    </w:p>
    <w:p>
      <w:pPr>
        <w:pStyle w:val="BodyText"/>
      </w:pPr>
      <w:r>
        <w:rPr>
          <w:bCs/>
          <w:b/>
        </w:rPr>
        <w:t xml:space="preserve">Calculated Emissions:</w:t>
      </w:r>
      <w:r>
        <w:t xml:space="preserve"> </w:t>
      </w:r>
      <w:r>
        <w:t xml:space="preserve">5.875 kg CO2e</w:t>
      </w:r>
    </w:p>
    <w:bookmarkEnd w:id="36"/>
    <w:bookmarkStart w:id="37" w:name="manufacturing-phase-scope-2"/>
    <w:p>
      <w:pPr>
        <w:pStyle w:val="Heading3"/>
      </w:pPr>
      <w:r>
        <w:t xml:space="preserve">Manufacturing Phase (Scope 2)</w:t>
      </w:r>
    </w:p>
    <w:p>
      <w:pPr>
        <w:pStyle w:val="FirstParagraph"/>
      </w:pPr>
      <w:r>
        <w:t xml:space="preserve">Only the non-renewable portion of purchased electricity is considered for emissions calculation under Scope 2, assuming the renewable portion is covered by market-based instruments (e.g., Renewable Energy Certificates).</w:t>
      </w:r>
    </w:p>
    <w:p>
      <w:pPr>
        <w:numPr>
          <w:ilvl w:val="0"/>
          <w:numId w:val="1007"/>
        </w:numPr>
        <w:pStyle w:val="Compact"/>
      </w:pPr>
      <w:r>
        <w:t xml:space="preserve">Non-renewable energy consumed = 50 kWh/unit * (1 - 0.75) = 12.5 kWh/unit</w:t>
      </w:r>
    </w:p>
    <w:p>
      <w:pPr>
        <w:numPr>
          <w:ilvl w:val="0"/>
          <w:numId w:val="1007"/>
        </w:numPr>
        <w:pStyle w:val="Compact"/>
      </w:pPr>
      <w:r>
        <w:t xml:space="preserve">Emissions = 12.5 kWh/unit * 0.557 kg CO2e/kWh = 6.9625 kg CO2e</w:t>
      </w:r>
    </w:p>
    <w:p>
      <w:pPr>
        <w:pStyle w:val="FirstParagraph"/>
      </w:pPr>
      <w:r>
        <w:rPr>
          <w:bCs/>
          <w:b/>
        </w:rPr>
        <w:t xml:space="preserve">Calculated Emissions:</w:t>
      </w:r>
      <w:r>
        <w:t xml:space="preserve"> </w:t>
      </w:r>
      <w:r>
        <w:t xml:space="preserve">6.96 kg CO2e</w:t>
      </w:r>
    </w:p>
    <w:p>
      <w:pPr>
        <w:pStyle w:val="BodyText"/>
      </w:pPr>
      <w:r>
        <w:rPr>
          <w:iCs/>
          <w:i/>
        </w:rPr>
        <w:t xml:space="preserve">Note on Scope 1:</w:t>
      </w:r>
      <w:r>
        <w:t xml:space="preserve"> </w:t>
      </w:r>
      <w:r>
        <w:t xml:space="preserve">No direct fuel combustion or process emissions (e.g., from chemical reactions) were specified for the manufacturing process beyond purchased electricity. Therefore, Scope 1 emissions are assumed to be negligible for this product\'s manufacturing phase within the factory gate boundary.</w:t>
      </w:r>
    </w:p>
    <w:bookmarkEnd w:id="37"/>
    <w:bookmarkStart w:id="40" w:name="transport-phase-scope-3-categories-4-9"/>
    <w:p>
      <w:pPr>
        <w:pStyle w:val="Heading3"/>
      </w:pPr>
      <w:r>
        <w:t xml:space="preserve">Transport Phase (Scope 3, Categories 4 &amp; 9)</w:t>
      </w:r>
    </w:p>
    <w:bookmarkStart w:id="38" w:name="upstream-transportation"/>
    <w:p>
      <w:pPr>
        <w:pStyle w:val="Heading4"/>
      </w:pPr>
      <w:r>
        <w:t xml:space="preserve">Upstream Transportation</w:t>
      </w:r>
    </w:p>
    <w:p>
      <w:pPr>
        <w:numPr>
          <w:ilvl w:val="0"/>
          <w:numId w:val="1008"/>
        </w:numPr>
        <w:pStyle w:val="Compact"/>
      </w:pPr>
      <w:r>
        <w:t xml:space="preserve">Ocean Freight Emissions = 0.90 kg * 20,000 km * 0.000016 kg CO2e/kg.km = 0.288 kg CO2e</w:t>
      </w:r>
    </w:p>
    <w:p>
      <w:pPr>
        <w:numPr>
          <w:ilvl w:val="0"/>
          <w:numId w:val="1008"/>
        </w:numPr>
        <w:pStyle w:val="Compact"/>
      </w:pPr>
      <w:r>
        <w:t xml:space="preserve">Truck (HGV) Emissions = 0.90 kg * 500 km * 0.00008 kg CO2e/kg.km = 0.036 kg CO2e</w:t>
      </w:r>
    </w:p>
    <w:p>
      <w:pPr>
        <w:pStyle w:val="FirstParagraph"/>
      </w:pPr>
      <w:r>
        <w:rPr>
          <w:bCs/>
          <w:b/>
        </w:rPr>
        <w:t xml:space="preserve">Total Upstream Transport Emissions:</w:t>
      </w:r>
      <w:r>
        <w:t xml:space="preserve"> </w:t>
      </w:r>
      <w:r>
        <w:t xml:space="preserve">0.32 kg CO2e</w:t>
      </w:r>
    </w:p>
    <w:bookmarkEnd w:id="38"/>
    <w:bookmarkStart w:id="39" w:name="X2577d9727e7695e187d1e0220bf6dd27e0cd7da"/>
    <w:p>
      <w:pPr>
        <w:pStyle w:val="Heading4"/>
      </w:pPr>
      <w:r>
        <w:t xml:space="preserve">Downstream Transportation (Last-Mile Delivery)</w:t>
      </w:r>
    </w:p>
    <w:p>
      <w:pPr>
        <w:numPr>
          <w:ilvl w:val="0"/>
          <w:numId w:val="1009"/>
        </w:numPr>
        <w:pStyle w:val="Compact"/>
      </w:pPr>
      <w:r>
        <w:t xml:space="preserve">Last-Mile Emissions = 0.2 kg CO2e/unit</w:t>
      </w:r>
    </w:p>
    <w:p>
      <w:pPr>
        <w:pStyle w:val="FirstParagraph"/>
      </w:pPr>
      <w:r>
        <w:rPr>
          <w:bCs/>
          <w:b/>
        </w:rPr>
        <w:t xml:space="preserve">Total Downstream (Last-Mile) Transport Emissions:</w:t>
      </w:r>
      <w:r>
        <w:t xml:space="preserve"> </w:t>
      </w:r>
      <w:r>
        <w:t xml:space="preserve">0.20 kg CO2e</w:t>
      </w:r>
    </w:p>
    <w:bookmarkEnd w:id="39"/>
    <w:bookmarkEnd w:id="40"/>
    <w:bookmarkStart w:id="41" w:name="use-phase-scope-3-category-11"/>
    <w:p>
      <w:pPr>
        <w:pStyle w:val="Heading3"/>
      </w:pPr>
      <w:r>
        <w:t xml:space="preserve">Use Phase (Scope 3, Category 11)</w:t>
      </w:r>
    </w:p>
    <w:p>
      <w:pPr>
        <w:pStyle w:val="FirstParagraph"/>
      </w:pPr>
      <w:r>
        <w:t xml:space="preserve">Emissions from electricity consumption during the product\'s lifespan, using a typical European grid mix to reflect the geographic scope of downstream use.</w:t>
      </w:r>
    </w:p>
    <w:p>
      <w:pPr>
        <w:numPr>
          <w:ilvl w:val="0"/>
          <w:numId w:val="1010"/>
        </w:numPr>
        <w:pStyle w:val="Compact"/>
      </w:pPr>
      <w:r>
        <w:t xml:space="preserve">Total energy consumption = 10 kWh/year * 5 years = 50 kWh</w:t>
      </w:r>
    </w:p>
    <w:p>
      <w:pPr>
        <w:numPr>
          <w:ilvl w:val="0"/>
          <w:numId w:val="1010"/>
        </w:numPr>
        <w:pStyle w:val="Compact"/>
      </w:pPr>
      <w:r>
        <w:t xml:space="preserve">Emissions = 50 kWh * 0.238 kg CO2e/kWh = 11.90 kg CO2e</w:t>
      </w:r>
    </w:p>
    <w:p>
      <w:pPr>
        <w:pStyle w:val="FirstParagraph"/>
      </w:pPr>
      <w:r>
        <w:rPr>
          <w:bCs/>
          <w:b/>
        </w:rPr>
        <w:t xml:space="preserve">Calculated Emissions:</w:t>
      </w:r>
      <w:r>
        <w:t xml:space="preserve"> </w:t>
      </w:r>
      <w:r>
        <w:t xml:space="preserve">11.90 kg CO2e</w:t>
      </w:r>
    </w:p>
    <w:bookmarkEnd w:id="41"/>
    <w:bookmarkStart w:id="42" w:name="X210143e50433bf4e7687bdfefe45c681f300a44"/>
    <w:p>
      <w:pPr>
        <w:pStyle w:val="Heading3"/>
      </w:pPr>
      <w:r>
        <w:t xml:space="preserve">End-of-Life (EoL) Phase (Scope 3, Category 12)</w:t>
      </w:r>
    </w:p>
    <w:p>
      <w:pPr>
        <w:pStyle w:val="FirstParagraph"/>
      </w:pPr>
      <w:r>
        <w:t xml:space="preserve">Assuming the non-recycled portion is incinerated, contributing to emissions. The presence of circular/take-back programs indicates efforts to mitigate EoL impacts, but direct avoided emissions credits are not quantified without specific data on recycling efficiency and displacement factors.</w:t>
      </w:r>
    </w:p>
    <w:p>
      <w:pPr>
        <w:numPr>
          <w:ilvl w:val="0"/>
          <w:numId w:val="1011"/>
        </w:numPr>
        <w:pStyle w:val="Compact"/>
      </w:pPr>
      <w:r>
        <w:t xml:space="preserve">Non-recycled portion of product = 0.90 kg * (1 - 0.70) = 0.27 kg</w:t>
      </w:r>
    </w:p>
    <w:p>
      <w:pPr>
        <w:numPr>
          <w:ilvl w:val="0"/>
          <w:numId w:val="1011"/>
        </w:numPr>
        <w:pStyle w:val="Compact"/>
      </w:pPr>
      <w:r>
        <w:t xml:space="preserve">EoL Emissions = 0.27 kg * 1 kg CO2e/kg = 0.27 kg CO2e</w:t>
      </w:r>
    </w:p>
    <w:p>
      <w:pPr>
        <w:pStyle w:val="FirstParagraph"/>
      </w:pPr>
      <w:r>
        <w:rPr>
          <w:bCs/>
          <w:b/>
        </w:rPr>
        <w:t xml:space="preserve">Calculated Emissions:</w:t>
      </w:r>
      <w:r>
        <w:t xml:space="preserve"> </w:t>
      </w:r>
      <w:r>
        <w:t xml:space="preserve">0.27 kg CO2e</w:t>
      </w:r>
    </w:p>
    <w:bookmarkEnd w:id="42"/>
    <w:bookmarkStart w:id="43" w:name="Xf9a088283f566c215e21d88df6fbc468b12ac2c"/>
    <w:p>
      <w:pPr>
        <w:pStyle w:val="Heading3"/>
      </w:pPr>
      <w:r>
        <w:t xml:space="preserve">Summary of Calculated Emissions by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Emissions (kg)</w:t>
            </w:r>
          </w:p>
        </w:tc>
        <w:tc>
          <w:tcPr/>
          <w:p>
            <w:pPr>
              <w:pStyle w:val="Compact"/>
              <w:jc w:val="left"/>
            </w:pPr>
            <w:r>
              <w:t xml:space="preserve">Percentage of Total</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5.875</w:t>
            </w:r>
          </w:p>
        </w:tc>
        <w:tc>
          <w:tcPr/>
          <w:p>
            <w:pPr>
              <w:pStyle w:val="Compact"/>
              <w:jc w:val="left"/>
            </w:pPr>
            <w:r>
              <w:t xml:space="preserve">23.01%</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6.963</w:t>
            </w:r>
          </w:p>
        </w:tc>
        <w:tc>
          <w:tcPr/>
          <w:p>
            <w:pPr>
              <w:pStyle w:val="Compact"/>
              <w:jc w:val="left"/>
            </w:pPr>
            <w:r>
              <w:t xml:space="preserve">27.27%</w:t>
            </w:r>
          </w:p>
        </w:tc>
      </w:tr>
      <w:tr>
        <w:tc>
          <w:tcPr/>
          <w:p>
            <w:pPr>
              <w:pStyle w:val="Compact"/>
              <w:jc w:val="left"/>
            </w:pPr>
            <w:r>
              <w:t xml:space="preserve">Upstream Transport</w:t>
            </w:r>
          </w:p>
        </w:tc>
        <w:tc>
          <w:tcPr/>
          <w:p>
            <w:pPr>
              <w:pStyle w:val="Compact"/>
              <w:jc w:val="left"/>
            </w:pPr>
            <w:r>
              <w:t xml:space="preserve">Scope 3 (Category 4)</w:t>
            </w:r>
          </w:p>
        </w:tc>
        <w:tc>
          <w:tcPr/>
          <w:p>
            <w:pPr>
              <w:pStyle w:val="Compact"/>
              <w:jc w:val="left"/>
            </w:pPr>
            <w:r>
              <w:t xml:space="preserve">0.324</w:t>
            </w:r>
          </w:p>
        </w:tc>
        <w:tc>
          <w:tcPr/>
          <w:p>
            <w:pPr>
              <w:pStyle w:val="Compact"/>
              <w:jc w:val="left"/>
            </w:pPr>
            <w:r>
              <w:t xml:space="preserve">1.27%</w:t>
            </w:r>
          </w:p>
        </w:tc>
      </w:tr>
      <w:tr>
        <w:tc>
          <w:tcPr/>
          <w:p>
            <w:pPr>
              <w:pStyle w:val="Compact"/>
              <w:jc w:val="left"/>
            </w:pPr>
            <w:r>
              <w:t xml:space="preserve">Last-Mile Delivery</w:t>
            </w:r>
          </w:p>
        </w:tc>
        <w:tc>
          <w:tcPr/>
          <w:p>
            <w:pPr>
              <w:pStyle w:val="Compact"/>
              <w:jc w:val="left"/>
            </w:pPr>
            <w:r>
              <w:t xml:space="preserve">Scope 3 (Category 9)</w:t>
            </w:r>
          </w:p>
        </w:tc>
        <w:tc>
          <w:tcPr/>
          <w:p>
            <w:pPr>
              <w:pStyle w:val="Compact"/>
              <w:jc w:val="left"/>
            </w:pPr>
            <w:r>
              <w:t xml:space="preserve">0.200</w:t>
            </w:r>
          </w:p>
        </w:tc>
        <w:tc>
          <w:tcPr/>
          <w:p>
            <w:pPr>
              <w:pStyle w:val="Compact"/>
              <w:jc w:val="left"/>
            </w:pPr>
            <w:r>
              <w:t xml:space="preserve">0.78%</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11.900</w:t>
            </w:r>
          </w:p>
        </w:tc>
        <w:tc>
          <w:tcPr/>
          <w:p>
            <w:pPr>
              <w:pStyle w:val="Compact"/>
              <w:jc w:val="left"/>
            </w:pPr>
            <w:r>
              <w:t xml:space="preserve">46.61%</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0.270</w:t>
            </w:r>
          </w:p>
        </w:tc>
        <w:tc>
          <w:tcPr/>
          <w:p>
            <w:pPr>
              <w:pStyle w:val="Compact"/>
              <w:jc w:val="left"/>
            </w:pPr>
            <w:r>
              <w:t xml:space="preserve">1.06%</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25.532 kg CO2e</w:t>
            </w:r>
          </w:p>
        </w:tc>
        <w:tc>
          <w:tcPr/>
          <w:p>
            <w:pPr>
              <w:pStyle w:val="Compact"/>
              <w:jc w:val="left"/>
            </w:pPr>
            <w:r>
              <w:rPr>
                <w:bCs/>
                <w:b/>
              </w:rPr>
              <w:t xml:space="preserve">100.00%</w:t>
            </w:r>
          </w:p>
        </w:tc>
      </w:tr>
    </w:tbl>
    <w:bookmarkEnd w:id="43"/>
    <w:bookmarkStart w:id="44" w:name="ghg-protocol-scope-breakdown"/>
    <w:p>
      <w:pPr>
        <w:pStyle w:val="Heading3"/>
      </w:pPr>
      <w:r>
        <w:t xml:space="preserve">GHG Protocol Scope Breakdown</w:t>
      </w:r>
    </w:p>
    <w:p>
      <w:pPr>
        <w:pStyle w:val="FirstParagraph"/>
      </w:pPr>
      <w:r>
        <w:t xml:space="preserve">The total PCF of 25.532 kg CO2e for one unit of jqgpgvtldh is distributed across the GHG Protocol scopes as follows:</w:t>
      </w:r>
    </w:p>
    <w:p>
      <w:pPr>
        <w:numPr>
          <w:ilvl w:val="0"/>
          <w:numId w:val="1012"/>
        </w:numPr>
        <w:pStyle w:val="Compact"/>
      </w:pPr>
      <w:r>
        <w:rPr>
          <w:bCs/>
          <w:b/>
        </w:rPr>
        <w:t xml:space="preserve">Scope 1 Emissions:</w:t>
      </w:r>
      <w:r>
        <w:t xml:space="preserve"> </w:t>
      </w:r>
      <w:r>
        <w:t xml:space="preserve">0.00 kg CO2e (negligible for direct operations based on provided data)</w:t>
      </w:r>
    </w:p>
    <w:p>
      <w:pPr>
        <w:numPr>
          <w:ilvl w:val="0"/>
          <w:numId w:val="1012"/>
        </w:numPr>
        <w:pStyle w:val="Compact"/>
      </w:pPr>
      <w:r>
        <w:rPr>
          <w:bCs/>
          <w:b/>
        </w:rPr>
        <w:t xml:space="preserve">Scope 2 Emissions:</w:t>
      </w:r>
      <w:r>
        <w:t xml:space="preserve"> </w:t>
      </w:r>
      <w:r>
        <w:t xml:space="preserve">6.96 kg CO2e (from purchased electricity for manufacturing)</w:t>
      </w:r>
    </w:p>
    <w:p>
      <w:pPr>
        <w:numPr>
          <w:ilvl w:val="0"/>
          <w:numId w:val="1012"/>
        </w:numPr>
        <w:pStyle w:val="Compact"/>
      </w:pPr>
      <w:r>
        <w:rPr>
          <w:bCs/>
          <w:b/>
        </w:rPr>
        <w:t xml:space="preserve">Scope 3 Emissions:</w:t>
      </w:r>
      <w:r>
        <w:t xml:space="preserve"> </w:t>
      </w:r>
      <w:r>
        <w:t xml:space="preserve">18.57 kg CO2e (encompassing materials, transport, use phase, and end-of-life)</w:t>
      </w:r>
    </w:p>
    <w:p>
      <w:pPr>
        <w:pStyle w:val="FirstParagraph"/>
      </w:pPr>
      <w:r>
        <w:t xml:space="preserve">Scope 3 emissions constitute approximately 72.7% of the total PCF, highlighting the importance of value chain engagement for decarbonization.</w:t>
      </w:r>
    </w:p>
    <w:bookmarkEnd w:id="44"/>
    <w:bookmarkStart w:id="45" w:name="X504f4a86e01fdcfa46a4589bb1b5e0cfaad8629"/>
    <w:p>
      <w:pPr>
        <w:pStyle w:val="Heading3"/>
      </w:pPr>
      <w:r>
        <w:t xml:space="preserve">2026 Land Sector and Removals (LSR) Standard Update</w:t>
      </w:r>
    </w:p>
    <w:p>
      <w:pPr>
        <w:pStyle w:val="FirstParagraph"/>
      </w:pPr>
      <w:r>
        <w:t xml:space="preserve">The GHG Protocol\'s Land Sector and Removals (LSR) Standard, released on January 30, 2026, sets new requirements for accounting for land emissions and carbon removals, effective January 1, 2027. While crucial for sectors with significant land-based activities (e.g., agriculture, forestry), this PCF analysis for jqgpgvtldh focuses on industrial manufacturing and downstream activities where direct land use change is not a primary driver of emissions. Detailed application of the LSR Standard would require specific land use data for raw material sourcing and any biogenic carbon flows, which were not within the scope of the provided parameters. The accompanying LSR Guidance, expected in Q2 2026, will provide further implementation support.</w:t>
      </w:r>
    </w:p>
    <w:bookmarkEnd w:id="45"/>
    <w:bookmarkStart w:id="46" w:name="scope-3-compliance"/>
    <w:p>
      <w:pPr>
        <w:pStyle w:val="Heading3"/>
      </w:pPr>
      <w:r>
        <w:t xml:space="preserve">Scope 3 Compliance</w:t>
      </w:r>
    </w:p>
    <w:p>
      <w:pPr>
        <w:pStyle w:val="FirstParagraph"/>
      </w:pPr>
      <w:r>
        <w:t xml:space="preserve">This analysis addresses five out of the fifteen Scope 3 categories (Purchased Goods and Services, Upstream Transportation, Downstream Transportation, Use of Sold Products, End-of-Life Treatment of Sold Products). These categories represent the most significant indirect emissions for a product like jqgpgvtldh, ensuring a comprehensive coverage for Scope 3 reporting as per 2026 requirements for identifying and quantifying material upstream and downstream emissions.</w:t>
      </w:r>
    </w:p>
    <w:p>
      <w:r>
        <w:pict>
          <v:rect style="width:0;height:1.5pt" o:hralign="center" o:hrstd="t" o:hr="t"/>
        </w:pict>
      </w:r>
    </w:p>
    <w:bookmarkEnd w:id="46"/>
    <w:bookmarkEnd w:id="47"/>
    <w:bookmarkStart w:id="50" w:name="review-report"/>
    <w:p>
      <w:pPr>
        <w:pStyle w:val="Heading2"/>
      </w:pPr>
      <w:r>
        <w:t xml:space="preserve">5. Review &amp; Report</w:t>
      </w:r>
    </w:p>
    <w:bookmarkStart w:id="48" w:name="hotspot-identification"/>
    <w:p>
      <w:pPr>
        <w:pStyle w:val="Heading3"/>
      </w:pPr>
      <w:r>
        <w:t xml:space="preserve">Hotspot Identification</w:t>
      </w:r>
    </w:p>
    <w:p>
      <w:pPr>
        <w:pStyle w:val="FirstParagraph"/>
      </w:pPr>
      <w:r>
        <w:t xml:space="preserve">The primary emission hotspots for jqgpgvtldh are:</w:t>
      </w:r>
    </w:p>
    <w:p>
      <w:pPr>
        <w:numPr>
          <w:ilvl w:val="0"/>
          <w:numId w:val="1013"/>
        </w:numPr>
        <w:pStyle w:val="Compact"/>
      </w:pPr>
      <w:r>
        <w:rPr>
          <w:bCs/>
          <w:b/>
        </w:rPr>
        <w:t xml:space="preserve">Use Phase (46.61%):</w:t>
      </w:r>
      <w:r>
        <w:t xml:space="preserve"> </w:t>
      </w:r>
      <w:r>
        <w:t xml:space="preserve">Energy consumption during the product\'s operational lifetime is the single largest contributor. Optimizing product energy efficiency and exploring renewable energy options for end-users are critical.</w:t>
      </w:r>
    </w:p>
    <w:p>
      <w:pPr>
        <w:numPr>
          <w:ilvl w:val="0"/>
          <w:numId w:val="1013"/>
        </w:numPr>
        <w:pStyle w:val="Compact"/>
      </w:pPr>
      <w:r>
        <w:rPr>
          <w:bCs/>
          <w:b/>
        </w:rPr>
        <w:t xml:space="preserve">Manufacturing (27.27%):</w:t>
      </w:r>
      <w:r>
        <w:t xml:space="preserve"> </w:t>
      </w:r>
      <w:r>
        <w:t xml:space="preserve">Purchased electricity for production in China significantly contributes to the footprint. Increasing the uptake of renewable energy at manufacturing facilities and improving energy efficiency are key.</w:t>
      </w:r>
    </w:p>
    <w:p>
      <w:pPr>
        <w:numPr>
          <w:ilvl w:val="0"/>
          <w:numId w:val="1013"/>
        </w:numPr>
        <w:pStyle w:val="Compact"/>
      </w:pPr>
      <w:r>
        <w:rPr>
          <w:bCs/>
          <w:b/>
        </w:rPr>
        <w:t xml:space="preserve">Material Acquisition &amp; Pre-processing (23.01%):</w:t>
      </w:r>
      <w:r>
        <w:t xml:space="preserve"> </w:t>
      </w:r>
      <w:r>
        <w:t xml:space="preserve">The embodied emissions in raw materials, particularly the Lithium-ion Battery and Printed Circuit Board, are substantial. Sourcing lower-carbon materials and optimizing material usage can reduce this impact.</w:t>
      </w:r>
    </w:p>
    <w:bookmarkEnd w:id="48"/>
    <w:bookmarkStart w:id="49" w:name="reliability-and-limitations"/>
    <w:p>
      <w:pPr>
        <w:pStyle w:val="Heading3"/>
      </w:pPr>
      <w:r>
        <w:t xml:space="preserve">Reliability and Limitations</w:t>
      </w:r>
    </w:p>
    <w:p>
      <w:pPr>
        <w:pStyle w:val="FirstParagraph"/>
      </w:pPr>
      <w:r>
        <w:t xml:space="preserve">The calculations are based on the provided primary data and industry-average secondary emission factors (e.g., Ecoinvent/DEFRA equivalents). While these provide a robust estimate, primary data from all supply chain tiers would enhance accuracy. The choice of emission factors and assumptions (e.g., product weight for transport, end-of-life scenarios) introduces a degree of uncertainty. This report serves as a reliable baseline for understanding the product\'s carbon footprint and guiding further detailed analysis and reduction strategies.</w:t>
      </w:r>
    </w:p>
    <w:p>
      <w:r>
        <w:pict>
          <v:rect style="width:0;height:1.5pt" o:hralign="center" o:hrstd="t" o:hr="t"/>
        </w:pict>
      </w:r>
    </w:p>
    <w:bookmarkEnd w:id="49"/>
    <w:bookmarkEnd w:id="50"/>
    <w:bookmarkStart w:id="51" w:name="recommendations-for-decarbonization"/>
    <w:p>
      <w:pPr>
        <w:pStyle w:val="Heading2"/>
      </w:pPr>
      <w:r>
        <w:t xml:space="preserve">Recommendations for Decarbonization</w:t>
      </w:r>
    </w:p>
    <w:p>
      <w:pPr>
        <w:pStyle w:val="FirstParagraph"/>
      </w:pPr>
      <w:r>
        <w:t xml:space="preserve">Based on the PCF analysis, nuufwfylst should consider the following actions to reduce the carbon footprint of jqgpgvtldh:</w:t>
      </w:r>
    </w:p>
    <w:p>
      <w:pPr>
        <w:numPr>
          <w:ilvl w:val="0"/>
          <w:numId w:val="1014"/>
        </w:numPr>
        <w:pStyle w:val="Compact"/>
      </w:pPr>
      <w:r>
        <w:rPr>
          <w:bCs/>
          <w:b/>
        </w:rPr>
        <w:t xml:space="preserve">Improve Product Energy Efficiency:</w:t>
      </w:r>
      <w:r>
        <w:t xml:space="preserve"> </w:t>
      </w:r>
      <w:r>
        <w:t xml:space="preserve">Focus R&amp;D on reducing energy consumption during the product\'s use phase, as this is the largest hotspot.</w:t>
      </w:r>
    </w:p>
    <w:p>
      <w:pPr>
        <w:numPr>
          <w:ilvl w:val="0"/>
          <w:numId w:val="1014"/>
        </w:numPr>
        <w:pStyle w:val="Compact"/>
      </w:pPr>
      <w:r>
        <w:rPr>
          <w:bCs/>
          <w:b/>
        </w:rPr>
        <w:t xml:space="preserve">Enhance Renewable Energy Adoption:</w:t>
      </w:r>
      <w:r>
        <w:t xml:space="preserve"> </w:t>
      </w:r>
      <w:r>
        <w:t xml:space="preserve">Increase the percentage of renewable energy used in manufacturing operations in China, potentially through direct procurement or Renewable Energy Certificates.</w:t>
      </w:r>
    </w:p>
    <w:p>
      <w:pPr>
        <w:numPr>
          <w:ilvl w:val="0"/>
          <w:numId w:val="1014"/>
        </w:numPr>
        <w:pStyle w:val="Compact"/>
      </w:pPr>
      <w:r>
        <w:rPr>
          <w:bCs/>
          <w:b/>
        </w:rPr>
        <w:t xml:space="preserve">Sustainable Material Sourcing:</w:t>
      </w:r>
      <w:r>
        <w:t xml:space="preserve"> </w:t>
      </w:r>
      <w:r>
        <w:t xml:space="preserve">Investigate alternative materials with lower embodied carbon, especially for components like batteries and circuit boards, and engage with suppliers to reduce their upstream emissions.</w:t>
      </w:r>
    </w:p>
    <w:p>
      <w:pPr>
        <w:numPr>
          <w:ilvl w:val="0"/>
          <w:numId w:val="1014"/>
        </w:numPr>
        <w:pStyle w:val="Compact"/>
      </w:pPr>
      <w:r>
        <w:rPr>
          <w:bCs/>
          <w:b/>
        </w:rPr>
        <w:t xml:space="preserve">Circular Economy Initiatives:</w:t>
      </w:r>
      <w:r>
        <w:t xml:space="preserve"> </w:t>
      </w:r>
      <w:r>
        <w:t xml:space="preserve">Further develop and promote the existing take-back programs (porvttmnmn) to maximize recycling rates beyond the current 70% (jvwipzkssu) and explore reuse or refurbishment models.</w:t>
      </w:r>
    </w:p>
    <w:p>
      <w:pPr>
        <w:numPr>
          <w:ilvl w:val="0"/>
          <w:numId w:val="1014"/>
        </w:numPr>
        <w:pStyle w:val="Compact"/>
      </w:pPr>
      <w:r>
        <w:rPr>
          <w:bCs/>
          <w:b/>
        </w:rPr>
        <w:t xml:space="preserve">Logistics Optimization:</w:t>
      </w:r>
      <w:r>
        <w:t xml:space="preserve"> </w:t>
      </w:r>
      <w:r>
        <w:t xml:space="preserve">Continuously optimize transportation routes, modes, and load factors for both inbound and outbound logistics to minimize fuel consumption and associated emissions.</w:t>
      </w:r>
    </w:p>
    <w:p>
      <w:pPr>
        <w:pStyle w:val="FirstParagraph"/>
      </w:pPr>
      <w:r>
        <w:t xml:space="preserve">Confidential - Internal Use Only | Page</w:t>
      </w:r>
      <w:r>
        <w:t xml:space="preserve"> </w:t>
      </w:r>
    </w:p>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jqgpgvtldh - nuufwfylst</dc:title>
  <dc:creator/>
  <dc:description>High-detail Product Carbon Footprint (PCF) analysis for jqgpgvtldh by rkuulrfmus, Senior Sustainability Consultant, adhering to GHG Protocol and 2026 LSR update.</dc:description>
  <dc:language>en</dc:language>
  <cp:keywords/>
  <dcterms:created xsi:type="dcterms:W3CDTF">2026-05-30T17:48:37Z</dcterms:created>
  <dcterms:modified xsi:type="dcterms:W3CDTF">2026-05-30T17:48:37Z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