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jphzogwjld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jphzogwjld</w:t>
      </w:r>
    </w:p>
    <w:p>
      <w:pPr>
        <w:pStyle w:val="BodyText"/>
      </w:pPr>
      <w:r>
        <w:rPr>
          <w:bCs/>
          <w:b/>
        </w:rPr>
        <w:t xml:space="preserve">Company Name:</w:t>
      </w:r>
      <w:r>
        <w:t xml:space="preserve"> </w:t>
      </w:r>
      <w:r>
        <w:t xml:space="preserve">yuqwnkmjjp</w:t>
      </w:r>
    </w:p>
    <w:p>
      <w:pPr>
        <w:pStyle w:val="BodyText"/>
      </w:pPr>
      <w:r>
        <w:rPr>
          <w:bCs/>
          <w:b/>
        </w:rPr>
        <w:t xml:space="preserve">Senior Sustainability Consultant:</w:t>
      </w:r>
      <w:r>
        <w:t xml:space="preserve"> </w:t>
      </w:r>
      <w:r>
        <w:t xml:space="preserve">yxiofppkhi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specific values may vary with more detailed primary data collection and evolving methodologies.</w:t>
      </w:r>
    </w:p>
    <w:bookmarkEnd w:id="20"/>
    <w:bookmarkStart w:id="21" w:name="X08cdc43f9790387c1f0688b8d1507e2fb95e5e4"/>
    <w:p>
      <w:pPr>
        <w:pStyle w:val="Heading1"/>
      </w:pPr>
      <w:r>
        <w:t xml:space="preserve">Product Carbon Footprint Analysis: jphzogwjld</w:t>
      </w:r>
    </w:p>
    <w:p>
      <w:pPr>
        <w:pStyle w:val="FirstParagraph"/>
      </w:pPr>
      <w:r>
        <w:t xml:space="preserve">Generated Date: May 19,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\'jphzogwjld\', produced by \'yuqwnkmjjp\', and conducted by Senior Sustainability Consultant \'yxiofppkhi\'. Adhering to the GHG Protocol, including the 2026 Land Sector and Removals (LSR) Standard and targeting 95% Scope 3 coverage, this analysis quantifies the Greenhouse Gas (GHG) emissions across the product\'s lifecycle. Key stages, from raw material acquisition and manufacturing to use-phase and end-of-life, have been assessed using provided company-specific data and industry-standard emission factors to identify emission hotspots and inform strategic reduction efforts.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foundation of this PCF analysis is built upon a clearly defined scope, ensuring consistency and comparability of results.</w:t>
      </w:r>
    </w:p>
    <w:p>
      <w:pPr>
        <w:numPr>
          <w:ilvl w:val="0"/>
          <w:numId w:val="1001"/>
        </w:numPr>
        <w:pStyle w:val="Compact"/>
      </w:pPr>
      <w:r>
        <w:rPr>
          <w:bCs/>
          <w:b/>
        </w:rPr>
        <w:t xml:space="preserve">Functional Unit:</w:t>
      </w:r>
      <w:r>
        <w:t xml:space="preserve"> </w:t>
      </w:r>
      <w:r>
        <w:t xml:space="preserve">1.0 unit of jphzogwjld.</w:t>
      </w:r>
    </w:p>
    <w:p>
      <w:pPr>
        <w:numPr>
          <w:ilvl w:val="0"/>
          <w:numId w:val="1001"/>
        </w:numPr>
        <w:pStyle w:val="Compact"/>
      </w:pPr>
      <w:r>
        <w:rPr>
          <w:bCs/>
          <w:b/>
        </w:rPr>
        <w:t xml:space="preserve">System Boundary:</w:t>
      </w:r>
      <w:r>
        <w:t xml:space="preserve"> </w:t>
      </w:r>
      <w:r>
        <w:t xml:space="preserve">Cradle-to-grave, expanded from the primary \'factory_gate\' definition to comprehensively include use-phase and end-of-life as per analytical requirements. This approach ensures a holistic assessment of the product\'s environmental impact throughout its entire lifecycle.</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primary manufacturing in China and significant supply chain activities and market focus in Europe.</w:t>
      </w:r>
    </w:p>
    <w:p>
      <w:pPr>
        <w:numPr>
          <w:ilvl w:val="0"/>
          <w:numId w:val="1001"/>
        </w:numPr>
        <w:pStyle w:val="Compact"/>
      </w:pPr>
      <w:r>
        <w:rPr>
          <w:bCs/>
          <w:b/>
        </w:rPr>
        <w:t xml:space="preserve">Accounting Standard:</w:t>
      </w:r>
      <w:r>
        <w:t xml:space="preserve"> </w:t>
      </w:r>
      <w:r>
        <w:t xml:space="preserve">GHG Protocol Product Standard, specifically incorporating the 2026 Land Sector and Removals (LSR) Standard. This ensures a robust and globally recognized methodology for GHG accounting.</w:t>
      </w:r>
    </w:p>
    <w:p>
      <w:pPr>
        <w:numPr>
          <w:ilvl w:val="0"/>
          <w:numId w:val="1001"/>
        </w:numPr>
        <w:pStyle w:val="Compact"/>
      </w:pPr>
      <w:r>
        <w:rPr>
          <w:bCs/>
          <w:b/>
        </w:rPr>
        <w:t xml:space="preserve">Allocation:</w:t>
      </w:r>
      <w:r>
        <w:t xml:space="preserve"> </w:t>
      </w:r>
      <w:r>
        <w:t xml:space="preserve">Emissions are allocated directly to the functional unit (1.0 unit of jphzogwjld). For co-products or multi-functional processes, mass-based or economic allocation would typically be applied; however, for this single-product analysis, direct allocation is used.</w:t>
      </w:r>
    </w:p>
    <w:p>
      <w:r>
        <w:pict>
          <v:rect style="width:0;height:1.5pt" o:hralign="center" o:hrstd="t" o:hr="t"/>
        </w:pict>
      </w:r>
    </w:p>
    <w:bookmarkEnd w:id="23"/>
    <w:bookmarkStart w:id="29" w:name="X1b7031aaf9d3ec7631c8b88e4e268c4190343e5"/>
    <w:p>
      <w:pPr>
        <w:pStyle w:val="Heading2"/>
      </w:pPr>
      <w:r>
        <w:t xml:space="preserve">2. Lifecycle Mapping &amp; Data Collection (Steps 2 &amp; 3)</w:t>
      </w:r>
    </w:p>
    <w:p>
      <w:pPr>
        <w:pStyle w:val="FirstParagraph"/>
      </w:pPr>
      <w:r>
        <w:t xml:space="preserve">This section details the various stages of the product lifecycle and the primary and secondary data collected for emission quantification. The analysis covers materials acquisition, manufacturing, transportation, use, and end-of-life.</w:t>
      </w:r>
    </w:p>
    <w:bookmarkStart w:id="24" w:name="Xdd6d2a62f3395e5341d3694e42b4d4a20149c2a"/>
    <w:p>
      <w:pPr>
        <w:pStyle w:val="Heading3"/>
      </w:pPr>
      <w:r>
        <w:t xml:space="preserve">2.1. Detailed Bill of Materials (BOM) - Scope 3 Upstream (Category 1: Purchased Goods and Services)</w:t>
      </w:r>
    </w:p>
    <w:p>
      <w:pPr>
        <w:pStyle w:val="FirstParagraph"/>
      </w:pPr>
      <w:r>
        <w:t xml:space="preserve">The following Bill of Materials (BOM) for jphzogwjld was used for material impact calculation. The "Total Carbon" value for each item is directly incorporated into the analysis.</w:t>
      </w:r>
    </w:p>
    <w:p>
      <w:pPr>
        <w:pStyle w:val="BodyText"/>
      </w:pPr>
      <w:r>
        <w:t xml:space="preserve">Provided BOM data (</w:t>
      </w:r>
      <w:r>
        <w:rPr>
          <w:rStyle w:val="VerbatimChar"/>
        </w:rPr>
        <w:t xml:space="preserve">inqhvutq</w:t>
      </w:r>
      <w:r>
        <w:t xml:space="preserve">):</w:t>
      </w:r>
    </w:p>
    <w:p>
      <w:pPr>
        <w:pStyle w:val="SourceCode"/>
      </w:pPr>
      <w:r>
        <w:rPr>
          <w:rStyle w:val="VerbatimChar"/>
        </w:rPr>
        <w:t xml:space="preserve">ID,Description,Category,Process,Qty,Unit,Emission Factor,Total Carbon</w:t>
      </w:r>
      <w:r>
        <w:br/>
      </w:r>
      <w:r>
        <w:rPr>
          <w:rStyle w:val="VerbatimChar"/>
        </w:rPr>
        <w:t xml:space="preserve">M001,Aluminium Casing,Metals,Primary Production,0.5,kg,7.0,3.5</w:t>
      </w:r>
      <w:r>
        <w:br/>
      </w:r>
      <w:r>
        <w:rPr>
          <w:rStyle w:val="VerbatimChar"/>
        </w:rPr>
        <w:t xml:space="preserve">P001,ABS Plastic,Plastics,Injection Molding,0.2,kg,2.5,0.5</w:t>
      </w:r>
      <w:r>
        <w:br/>
      </w:r>
      <w:r>
        <w:rPr>
          <w:rStyle w:val="VerbatimChar"/>
        </w:rPr>
        <w:t xml:space="preserve">E001,Circuit Board,Electronics,Assembly,1.0,unit,0.1,0.1</w:t>
      </w:r>
      <w:r>
        <w:br/>
      </w:r>
      <w:r>
        <w:rPr>
          <w:rStyle w:val="VerbatimChar"/>
        </w:rPr>
        <w:t xml:space="preserve">P002,Packaging Cardboard,Paper/Board,Pulp &amp; Paper,0.1,kg,1.0,0.1</w:t>
      </w:r>
    </w:p>
    <w:p>
      <w:pPr>
        <w:pStyle w:val="FirstParagraph"/>
      </w:pPr>
      <w:r>
        <w:t xml:space="preserve">Based on the provided BOM data, the parsed material components and their associated carbon footprints are: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0.1</w:t>
            </w:r>
          </w:p>
        </w:tc>
        <w:tc>
          <w:tcPr/>
          <w:p>
            <w:pPr>
              <w:pStyle w:val="Compact"/>
              <w:jc w:val="left"/>
            </w:pPr>
            <w:r>
              <w:t xml:space="preserve">0.1</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bCs/>
          <w:b/>
        </w:rPr>
        <w:t xml:space="preserve">Total Emissions from Materials: 4.2 kg CO2e</w:t>
      </w:r>
    </w:p>
    <w:bookmarkEnd w:id="24"/>
    <w:bookmarkStart w:id="25" w:name="X1c6efe7cefce792d9c0bf4304716dc3cf9de20e"/>
    <w:p>
      <w:pPr>
        <w:pStyle w:val="Heading3"/>
      </w:pPr>
      <w:r>
        <w:t xml:space="preserve">2.2. Production Energy Inputs - Scope 2 (Purchased Electricity) &amp; Scope 3 Upstream (Category 3: Fuel- and Energy-Related Activities)</w:t>
      </w:r>
    </w:p>
    <w:p>
      <w:pPr>
        <w:pStyle w:val="FirstParagraph"/>
      </w:pPr>
      <w:r>
        <w:t xml:space="preserve">Energy consumption during the production phase is a significant contributor to the PCF. The following specific data was utilized:</w:t>
      </w:r>
    </w:p>
    <w:p>
      <w:pPr>
        <w:numPr>
          <w:ilvl w:val="0"/>
          <w:numId w:val="1002"/>
        </w:numPr>
        <w:pStyle w:val="Compact"/>
      </w:pPr>
      <w:r>
        <w:rPr>
          <w:bCs/>
          <w:b/>
        </w:rPr>
        <w:t xml:space="preserve">Energy Intensity (kWh/unit):</w:t>
      </w:r>
      <w:r>
        <w:t xml:space="preserve"> </w:t>
      </w:r>
      <w:r>
        <w:rPr>
          <w:rStyle w:val="VerbatimChar"/>
        </w:rPr>
        <w:t xml:space="preserve">dofurvlnht</w:t>
      </w:r>
      <w:r>
        <w:t xml:space="preserve"> </w:t>
      </w:r>
      <w:r>
        <w:t xml:space="preserve">(1.5 kWh/unit)</w:t>
      </w:r>
    </w:p>
    <w:p>
      <w:pPr>
        <w:numPr>
          <w:ilvl w:val="0"/>
          <w:numId w:val="1002"/>
        </w:numPr>
        <w:pStyle w:val="Compact"/>
      </w:pPr>
      <w:r>
        <w:rPr>
          <w:bCs/>
          <w:b/>
        </w:rPr>
        <w:t xml:space="preserve">Renewable Energy Usage:</w:t>
      </w:r>
      <w:r>
        <w:t xml:space="preserve"> </w:t>
      </w:r>
      <w:r>
        <w:rPr>
          <w:rStyle w:val="VerbatimChar"/>
        </w:rPr>
        <w:t xml:space="preserve">jikowroouf</w:t>
      </w:r>
      <w:r>
        <w:t xml:space="preserve"> </w:t>
      </w:r>
      <w:r>
        <w:t xml:space="preserve">(70%)</w:t>
      </w:r>
    </w:p>
    <w:p>
      <w:pPr>
        <w:pStyle w:val="FirstParagraph"/>
      </w:pPr>
      <w:r>
        <w:t xml:space="preserve">Assumed Emission Factors:</w:t>
      </w:r>
    </w:p>
    <w:p>
      <w:pPr>
        <w:numPr>
          <w:ilvl w:val="0"/>
          <w:numId w:val="1003"/>
        </w:numPr>
        <w:pStyle w:val="Compact"/>
      </w:pPr>
      <w:r>
        <w:t xml:space="preserve">China Electricity Grid Mix (average): 0.556 kg CO2e/kWh (for non-renewable portion)</w:t>
      </w:r>
    </w:p>
    <w:p>
      <w:pPr>
        <w:numPr>
          <w:ilvl w:val="0"/>
          <w:numId w:val="1003"/>
        </w:numPr>
        <w:pStyle w:val="Compact"/>
      </w:pPr>
      <w:r>
        <w:t xml:space="preserve">Renewable Electricity (Contracted/PPA, residual emissions): 0.05 kg CO2e/kWh (a conservative residual mix factor, as renewable energy claims often lead to higher residual grid factors for the remaining non-renewable portion)</w:t>
      </w:r>
    </w:p>
    <w:bookmarkEnd w:id="25"/>
    <w:bookmarkStart w:id="26" w:name="X41322736ee369a8a3b12e1debe617315949c6fa"/>
    <w:p>
      <w:pPr>
        <w:pStyle w:val="Heading3"/>
      </w:pPr>
      <w:r>
        <w:t xml:space="preserve">2.3. Transport Logistics - Scope 3 Upstream (Category 4: Upstream Transportation and Distribution) &amp; Downstream (Category 9: Downstream Transportation and Distribution)</w:t>
      </w:r>
    </w:p>
    <w:p>
      <w:pPr>
        <w:pStyle w:val="FirstParagraph"/>
      </w:pPr>
      <w:r>
        <w:t xml:space="preserve">Transportation of materials to the factory, finished goods to distribution centers, and last-mile delivery to customers are included.</w:t>
      </w:r>
    </w:p>
    <w:p>
      <w:pPr>
        <w:numPr>
          <w:ilvl w:val="0"/>
          <w:numId w:val="1004"/>
        </w:numPr>
        <w:pStyle w:val="Compact"/>
      </w:pPr>
      <w:r>
        <w:rPr>
          <w:bCs/>
          <w:b/>
        </w:rPr>
        <w:t xml:space="preserve">Primary Transport Mode:</w:t>
      </w:r>
      <w:r>
        <w:t xml:space="preserve"> </w:t>
      </w:r>
      <w:r>
        <w:rPr>
          <w:rStyle w:val="VerbatimChar"/>
        </w:rPr>
        <w:t xml:space="preserve">Select Mode</w:t>
      </w:r>
      <w:r>
        <w:t xml:space="preserve"> </w:t>
      </w:r>
      <w:r>
        <w:t xml:space="preserve">(Heavy Goods Vehicle - HGV)</w:t>
      </w:r>
    </w:p>
    <w:p>
      <w:pPr>
        <w:numPr>
          <w:ilvl w:val="0"/>
          <w:numId w:val="1004"/>
        </w:numPr>
        <w:pStyle w:val="Compact"/>
      </w:pPr>
      <w:r>
        <w:rPr>
          <w:bCs/>
          <w:b/>
        </w:rPr>
        <w:t xml:space="preserve">Primary Transport Distance:</w:t>
      </w:r>
      <w:r>
        <w:t xml:space="preserve"> </w:t>
      </w:r>
      <w:r>
        <w:rPr>
          <w:rStyle w:val="VerbatimChar"/>
        </w:rPr>
        <w:t xml:space="preserve">mzgmggdeyo</w:t>
      </w:r>
      <w:r>
        <w:t xml:space="preserve"> </w:t>
      </w:r>
      <w:r>
        <w:t xml:space="preserve">(500 km)</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(Small Parcel Delivery Van)</w:t>
      </w:r>
    </w:p>
    <w:p>
      <w:pPr>
        <w:numPr>
          <w:ilvl w:val="0"/>
          <w:numId w:val="1004"/>
        </w:numPr>
        <w:pStyle w:val="Compact"/>
      </w:pPr>
      <w:r>
        <w:rPr>
          <w:bCs/>
          <w:b/>
        </w:rPr>
        <w:t xml:space="preserve">Assumed Last-Mile Distance:</w:t>
      </w:r>
      <w:r>
        <w:t xml:space="preserve"> </w:t>
      </w:r>
      <w:r>
        <w:t xml:space="preserve">50 km (typical for regional distribution)</w:t>
      </w:r>
    </w:p>
    <w:p>
      <w:pPr>
        <w:numPr>
          <w:ilvl w:val="0"/>
          <w:numId w:val="1004"/>
        </w:numPr>
        <w:pStyle w:val="Compact"/>
      </w:pPr>
      <w:r>
        <w:rPr>
          <w:bCs/>
          <w:b/>
        </w:rPr>
        <w:t xml:space="preserve">Assumed Product Weight:</w:t>
      </w:r>
      <w:r>
        <w:t xml:space="preserve"> </w:t>
      </w:r>
      <w:r>
        <w:t xml:space="preserve">Approximately 1.0 kg (derived from BOM components).</w:t>
      </w:r>
    </w:p>
    <w:p>
      <w:pPr>
        <w:pStyle w:val="FirstParagraph"/>
      </w:pPr>
      <w:r>
        <w:t xml:space="preserve">Assumed Emission Factors (for a 1.0 kg product):</w:t>
      </w:r>
    </w:p>
    <w:p>
      <w:pPr>
        <w:numPr>
          <w:ilvl w:val="0"/>
          <w:numId w:val="1005"/>
        </w:numPr>
        <w:pStyle w:val="Compact"/>
      </w:pPr>
      <w:r>
        <w:t xml:space="preserve">Heavy Goods Vehicle (HGV): 0.09 kg CO2e/tonne-km (average for road freight)</w:t>
      </w:r>
    </w:p>
    <w:p>
      <w:pPr>
        <w:numPr>
          <w:ilvl w:val="0"/>
          <w:numId w:val="1005"/>
        </w:numPr>
        <w:pStyle w:val="Compact"/>
      </w:pPr>
      <w:r>
        <w:t xml:space="preserve">Small Parcel Delivery Van: 0.25 kg CO2e/tonne-km (higher due to less efficient loading and stop-and-go traffic)</w:t>
      </w:r>
    </w:p>
    <w:bookmarkEnd w:id="26"/>
    <w:bookmarkStart w:id="27" w:name="X630d8f75f136e3fa22d6c2713a507f3b0616e06"/>
    <w:p>
      <w:pPr>
        <w:pStyle w:val="Heading3"/>
      </w:pPr>
      <w:r>
        <w:t xml:space="preserve">2.4. Product Use Phase - Scope 3 Downstream (Category 11: Use of Sold Products)</w:t>
      </w:r>
    </w:p>
    <w:p>
      <w:pPr>
        <w:pStyle w:val="FirstParagraph"/>
      </w:pPr>
      <w:r>
        <w:t xml:space="preserve">The energy consumed during the product\'s operational lifespan significantly contributes to its overall footprint.</w:t>
      </w:r>
    </w:p>
    <w:p>
      <w:pPr>
        <w:numPr>
          <w:ilvl w:val="0"/>
          <w:numId w:val="1006"/>
        </w:numPr>
        <w:pStyle w:val="Compact"/>
      </w:pPr>
      <w:r>
        <w:rPr>
          <w:bCs/>
          <w:b/>
        </w:rPr>
        <w:t xml:space="preserve">Product Lifespan:</w:t>
      </w:r>
      <w:r>
        <w:t xml:space="preserve"> </w:t>
      </w:r>
      <w:r>
        <w:rPr>
          <w:rStyle w:val="VerbatimChar"/>
        </w:rPr>
        <w:t xml:space="preserve">usuemiuqhn</w:t>
      </w:r>
      <w:r>
        <w:t xml:space="preserve"> </w:t>
      </w:r>
      <w:r>
        <w:t xml:space="preserve">(5 years)</w:t>
      </w:r>
    </w:p>
    <w:p>
      <w:pPr>
        <w:numPr>
          <w:ilvl w:val="0"/>
          <w:numId w:val="1006"/>
        </w:numPr>
        <w:pStyle w:val="Compact"/>
      </w:pPr>
      <w:r>
        <w:rPr>
          <w:bCs/>
          <w:b/>
        </w:rPr>
        <w:t xml:space="preserve">Energy Consumption in Use:</w:t>
      </w:r>
      <w:r>
        <w:t xml:space="preserve"> </w:t>
      </w:r>
      <w:r>
        <w:rPr>
          <w:rStyle w:val="VerbatimChar"/>
        </w:rPr>
        <w:t xml:space="preserve">lpdwhkkpik</w:t>
      </w:r>
      <w:r>
        <w:t xml:space="preserve"> </w:t>
      </w:r>
      <w:r>
        <w:t xml:space="preserve">(10 kWh/year)</w:t>
      </w:r>
    </w:p>
    <w:p>
      <w:pPr>
        <w:pStyle w:val="FirstParagraph"/>
      </w:pPr>
      <w:r>
        <w:t xml:space="preserve">Assumed Emission Factor for user electricity (EU average for power generation): 0.25 kg CO2e/kWh.</w:t>
      </w:r>
    </w:p>
    <w:bookmarkEnd w:id="27"/>
    <w:bookmarkStart w:id="28" w:name="X3672607e21ac1847b6c0669dd02b02c21385fdb"/>
    <w:p>
      <w:pPr>
        <w:pStyle w:val="Heading3"/>
      </w:pPr>
      <w:r>
        <w:t xml:space="preserve">2.5. End-of-Life (EoL) Scenarios - Scope 3 Downstream (Category 12: End-of-Life Treatment of Sold Products)</w:t>
      </w:r>
    </w:p>
    <w:p>
      <w:pPr>
        <w:pStyle w:val="FirstParagraph"/>
      </w:pPr>
      <w:r>
        <w:t xml:space="preserve">The fate of the product at the end of its life impacts its overall footprint through recycling, waste processing, and potential avoided emissions.</w:t>
      </w:r>
    </w:p>
    <w:p>
      <w:pPr>
        <w:numPr>
          <w:ilvl w:val="0"/>
          <w:numId w:val="1007"/>
        </w:numPr>
        <w:pStyle w:val="Compact"/>
      </w:pPr>
      <w:r>
        <w:rPr>
          <w:bCs/>
          <w:b/>
        </w:rPr>
        <w:t xml:space="preserve">Recyclability Percentage:</w:t>
      </w:r>
      <w:r>
        <w:t xml:space="preserve"> </w:t>
      </w:r>
      <w:r>
        <w:rPr>
          <w:rStyle w:val="VerbatimChar"/>
        </w:rPr>
        <w:t xml:space="preserve">teuwjnvrtu</w:t>
      </w:r>
      <w:r>
        <w:t xml:space="preserve"> </w:t>
      </w:r>
      <w:r>
        <w:t xml:space="preserve">(80%)</w:t>
      </w:r>
    </w:p>
    <w:p>
      <w:pPr>
        <w:numPr>
          <w:ilvl w:val="0"/>
          <w:numId w:val="1007"/>
        </w:numPr>
        <w:pStyle w:val="Compact"/>
      </w:pPr>
      <w:r>
        <w:rPr>
          <w:bCs/>
          <w:b/>
        </w:rPr>
        <w:t xml:space="preserve">Circular/Take-back Programs:</w:t>
      </w:r>
      <w:r>
        <w:t xml:space="preserve"> </w:t>
      </w:r>
      <w:r>
        <w:rPr>
          <w:rStyle w:val="VerbatimChar"/>
        </w:rPr>
        <w:t xml:space="preserve">zvwyjdsyiz</w:t>
      </w:r>
      <w:r>
        <w:t xml:space="preserve"> </w:t>
      </w:r>
      <w:r>
        <w:t xml:space="preserve">(Product Take-back Program in EU)</w:t>
      </w:r>
    </w:p>
    <w:p>
      <w:pPr>
        <w:pStyle w:val="FirstParagraph"/>
      </w:pPr>
      <w:r>
        <w:t xml:space="preserve">Assumed Emission Factor for non-recycled waste (landfill/incineration for mixed waste): 0.5 kg CO2e/kg (approximate average of landfill/incineration impacts)</w:t>
      </w:r>
    </w:p>
    <w:p>
      <w:r>
        <w:pict>
          <v:rect style="width:0;height:1.5pt" o:hralign="center" o:hrstd="t" o:hr="t"/>
        </w:pict>
      </w:r>
    </w:p>
    <w:bookmarkEnd w:id="28"/>
    <w:bookmarkEnd w:id="29"/>
    <w:bookmarkStart w:id="40" w:name="emission-calculation-step-4"/>
    <w:p>
      <w:pPr>
        <w:pStyle w:val="Heading2"/>
      </w:pPr>
      <w:r>
        <w:t xml:space="preserve">3. Emission Calculation (Step 4)</w:t>
      </w:r>
    </w:p>
    <w:p>
      <w:pPr>
        <w:pStyle w:val="FirstParagraph"/>
      </w:pPr>
      <w:r>
        <w:t xml:space="preserve">This section details the calculation of Greenhouse Gas (GHG) emissions for each lifecycle stage, categorized according to the GHG Protocol.</w:t>
      </w:r>
    </w:p>
    <w:bookmarkStart w:id="30" w:name="X8008c4dc2ec711c9dc351a8a9a2901d8951159c"/>
    <w:p>
      <w:pPr>
        <w:pStyle w:val="Heading3"/>
      </w:pPr>
      <w:r>
        <w:t xml:space="preserve">3.1. Material Acquisition (Scope 3 - Category 1: Purchased Goods and Services)</w:t>
      </w:r>
    </w:p>
    <w:p>
      <w:pPr>
        <w:pStyle w:val="FirstParagraph"/>
      </w:pPr>
      <w:r>
        <w:t xml:space="preserve">Total emissions from the raw materials, based on the provided BOM data, are calculated directly from the "Total Carbon" column.</w:t>
      </w:r>
    </w:p>
    <w:p>
      <w:pPr>
        <w:pStyle w:val="BodyText"/>
      </w:pPr>
      <w:r>
        <w:t xml:space="preserve">Total Material Emissions = 3.5 kg + 0.5 kg + 0.1 kg + 0.1 kg =</w:t>
      </w:r>
      <w:r>
        <w:t xml:space="preserve"> </w:t>
      </w:r>
      <w:r>
        <w:rPr>
          <w:bCs/>
          <w:b/>
        </w:rPr>
        <w:t xml:space="preserve">4.2 kg CO2e</w:t>
      </w:r>
      <w:r>
        <w:t xml:space="preserve">.</w:t>
      </w:r>
    </w:p>
    <w:bookmarkEnd w:id="30"/>
    <w:bookmarkStart w:id="33" w:name="production-phase-emissions"/>
    <w:p>
      <w:pPr>
        <w:pStyle w:val="Heading3"/>
      </w:pPr>
      <w:r>
        <w:t xml:space="preserve">3.2. Production Phase Emissions</w:t>
      </w:r>
    </w:p>
    <w:bookmarkStart w:id="31" w:name="X13d84b966a81d01ab38a1748054e233607e8296"/>
    <w:p>
      <w:pPr>
        <w:pStyle w:val="Heading4"/>
      </w:pPr>
      <w:r>
        <w:t xml:space="preserve">3.2.1. Electricity Consumption (Scope 2: Purchased Electricity)</w:t>
      </w:r>
    </w:p>
    <w:p>
      <w:pPr>
        <w:numPr>
          <w:ilvl w:val="0"/>
          <w:numId w:val="1008"/>
        </w:numPr>
        <w:pStyle w:val="Compact"/>
      </w:pPr>
      <w:r>
        <w:t xml:space="preserve">Total Energy Consumption: 1.5 kWh/unit</w:t>
      </w:r>
    </w:p>
    <w:p>
      <w:pPr>
        <w:numPr>
          <w:ilvl w:val="0"/>
          <w:numId w:val="1008"/>
        </w:numPr>
        <w:pStyle w:val="Compact"/>
      </w:pPr>
      <w:r>
        <w:t xml:space="preserve">Renewable Energy Portion: 70% * 1.5 kWh = 1.05 kWh</w:t>
      </w:r>
    </w:p>
    <w:p>
      <w:pPr>
        <w:numPr>
          <w:ilvl w:val="0"/>
          <w:numId w:val="1008"/>
        </w:numPr>
        <w:pStyle w:val="Compact"/>
      </w:pPr>
      <w:r>
        <w:t xml:space="preserve">Non-Renewable Energy Portion: (1 - 0.70) * 1.5 kWh = 0.45 kWh</w:t>
      </w:r>
    </w:p>
    <w:p>
      <w:pPr>
        <w:numPr>
          <w:ilvl w:val="0"/>
          <w:numId w:val="1008"/>
        </w:numPr>
        <w:pStyle w:val="Compact"/>
      </w:pPr>
      <w:r>
        <w:t xml:space="preserve">Emissions from Non-Renewable Electricity (China grid average): 0.45 kWh * 0.556 kg CO2e/kWh = 0.2502 kg CO2e</w:t>
      </w:r>
    </w:p>
    <w:p>
      <w:pPr>
        <w:numPr>
          <w:ilvl w:val="0"/>
          <w:numId w:val="1008"/>
        </w:numPr>
        <w:pStyle w:val="Compact"/>
      </w:pPr>
      <w:r>
        <w:t xml:space="preserve">Emissions from Renewable Electricity (residual emissions for purchased renewables): 1.05 kWh * 0.05 kg CO2e/kWh = 0.0525 kg CO2e</w:t>
      </w:r>
    </w:p>
    <w:p>
      <w:pPr>
        <w:numPr>
          <w:ilvl w:val="0"/>
          <w:numId w:val="1008"/>
        </w:numPr>
        <w:pStyle w:val="Compact"/>
      </w:pPr>
      <w:r>
        <w:rPr>
          <w:bCs/>
          <w:b/>
        </w:rPr>
        <w:t xml:space="preserve">Total Production Electricity Emissions: 0.2502 + 0.0525 = 0.3027 kg CO2e</w:t>
      </w:r>
    </w:p>
    <w:bookmarkEnd w:id="31"/>
    <w:bookmarkStart w:id="32" w:name="direct-manufacturing-emissions-scope-1"/>
    <w:p>
      <w:pPr>
        <w:pStyle w:val="Heading4"/>
      </w:pPr>
      <w:r>
        <w:t xml:space="preserve">3.2.2. Direct Manufacturing Emissions (Scope 1)</w:t>
      </w:r>
    </w:p>
    <w:p>
      <w:pPr>
        <w:pStyle w:val="FirstParagraph"/>
      </w:pPr>
      <w:r>
        <w:t xml:space="preserve">No specific Scope 1 emissions (e.g., from owned combustion sources or process emissions) were provided for the \'yuqwnkmjjp\' factory. For the purpose of this report, direct manufacturing emissions are assumed to be negligible or fully accounted for within the energy intensity and material processing data. If present, these would be captured under Scope 1.</w:t>
      </w:r>
    </w:p>
    <w:p>
      <w:pPr>
        <w:pStyle w:val="BodyText"/>
      </w:pPr>
      <w:r>
        <w:rPr>
          <w:bCs/>
          <w:b/>
        </w:rPr>
        <w:t xml:space="preserve">Total Production Phase Emissions (primarily Scope 2): 0.3027 kg CO2e</w:t>
      </w:r>
    </w:p>
    <w:bookmarkEnd w:id="32"/>
    <w:bookmarkEnd w:id="33"/>
    <w:bookmarkStart w:id="34" w:name="Xb78beaa6a549f90c49839f83350553ef2b5317f"/>
    <w:p>
      <w:pPr>
        <w:pStyle w:val="Heading3"/>
      </w:pPr>
      <w:r>
        <w:t xml:space="preserve">3.3. Transportation Emissions (Scope 3 - Category 4: Upstream Transportation &amp; Category 9: Downstream Transportation)</w:t>
      </w:r>
    </w:p>
    <w:p>
      <w:pPr>
        <w:pStyle w:val="FirstParagraph"/>
      </w:pPr>
      <w:r>
        <w:t xml:space="preserve">Assumed product weight for transport calculations: 1.0 kg (0.001 tonnes).</w:t>
      </w:r>
    </w:p>
    <w:p>
      <w:pPr>
        <w:numPr>
          <w:ilvl w:val="0"/>
          <w:numId w:val="1009"/>
        </w:numPr>
        <w:pStyle w:val="Compact"/>
      </w:pPr>
      <w:r>
        <w:rPr>
          <w:bCs/>
          <w:b/>
        </w:rPr>
        <w:t xml:space="preserve">Primary Transport (HGV - to distribution hub):</w:t>
      </w:r>
    </w:p>
    <w:p>
      <w:pPr>
        <w:numPr>
          <w:ilvl w:val="1"/>
          <w:numId w:val="1010"/>
        </w:numPr>
        <w:pStyle w:val="Compact"/>
      </w:pPr>
      <w:r>
        <w:t xml:space="preserve">Distance: 500 km</w:t>
      </w:r>
    </w:p>
    <w:p>
      <w:pPr>
        <w:numPr>
          <w:ilvl w:val="1"/>
          <w:numId w:val="1010"/>
        </w:numPr>
        <w:pStyle w:val="Compact"/>
      </w:pPr>
      <w:r>
        <w:t xml:space="preserve">Emission Factor: 0.09 kg CO2e/tonne-km</w:t>
      </w:r>
    </w:p>
    <w:p>
      <w:pPr>
        <w:numPr>
          <w:ilvl w:val="1"/>
          <w:numId w:val="1010"/>
        </w:numPr>
        <w:pStyle w:val="Compact"/>
      </w:pPr>
      <w:r>
        <w:t xml:space="preserve">Emissions: 0.001 tonnes * 500 km * 0.09 kg CO2e/tonne-km = 0.045 kg CO2e</w:t>
      </w:r>
    </w:p>
    <w:p>
      <w:pPr>
        <w:numPr>
          <w:ilvl w:val="0"/>
          <w:numId w:val="1009"/>
        </w:numPr>
        <w:pStyle w:val="Compact"/>
      </w:pPr>
      <w:r>
        <w:rPr>
          <w:bCs/>
          <w:b/>
        </w:rPr>
        <w:t xml:space="preserve">Last-Mile Delivery (Small Parcel Delivery Van - to customer):</w:t>
      </w:r>
    </w:p>
    <w:p>
      <w:pPr>
        <w:numPr>
          <w:ilvl w:val="1"/>
          <w:numId w:val="1011"/>
        </w:numPr>
        <w:pStyle w:val="Compact"/>
      </w:pPr>
      <w:r>
        <w:t xml:space="preserve">Distance: 50 km</w:t>
      </w:r>
    </w:p>
    <w:p>
      <w:pPr>
        <w:numPr>
          <w:ilvl w:val="1"/>
          <w:numId w:val="1011"/>
        </w:numPr>
        <w:pStyle w:val="Compact"/>
      </w:pPr>
      <w:r>
        <w:t xml:space="preserve">Emission Factor: 0.25 kg CO2e/tonne-km</w:t>
      </w:r>
    </w:p>
    <w:p>
      <w:pPr>
        <w:numPr>
          <w:ilvl w:val="1"/>
          <w:numId w:val="1011"/>
        </w:numPr>
        <w:pStyle w:val="Compact"/>
      </w:pPr>
      <w:r>
        <w:t xml:space="preserve">Emissions: 0.001 tonnes * 50 km * 0.25 kg CO2e/tonne-km = 0.0125 kg CO2e</w:t>
      </w:r>
    </w:p>
    <w:p>
      <w:pPr>
        <w:numPr>
          <w:ilvl w:val="0"/>
          <w:numId w:val="1009"/>
        </w:numPr>
        <w:pStyle w:val="Compact"/>
      </w:pPr>
      <w:r>
        <w:rPr>
          <w:bCs/>
          <w:b/>
        </w:rPr>
        <w:t xml:space="preserve">Total Transportation Emissions: 0.045 + 0.0125 = 0.0575 kg CO2e</w:t>
      </w:r>
    </w:p>
    <w:bookmarkEnd w:id="34"/>
    <w:bookmarkStart w:id="35" w:name="X75e1a6c1849ddea4e386e94c7574e9491ba7628"/>
    <w:p>
      <w:pPr>
        <w:pStyle w:val="Heading3"/>
      </w:pPr>
      <w:r>
        <w:t xml:space="preserve">3.4. Use Phase Emissions (Scope 3 - Category 11: Use of Sold Products)</w:t>
      </w:r>
    </w:p>
    <w:p>
      <w:pPr>
        <w:numPr>
          <w:ilvl w:val="0"/>
          <w:numId w:val="1012"/>
        </w:numPr>
        <w:pStyle w:val="Compact"/>
      </w:pPr>
      <w:r>
        <w:t xml:space="preserve">Product Lifespan: 5 years</w:t>
      </w:r>
    </w:p>
    <w:p>
      <w:pPr>
        <w:numPr>
          <w:ilvl w:val="0"/>
          <w:numId w:val="1012"/>
        </w:numPr>
        <w:pStyle w:val="Compact"/>
      </w:pPr>
      <w:r>
        <w:t xml:space="preserve">Annual Energy Consumption: 10 kWh/year</w:t>
      </w:r>
    </w:p>
    <w:p>
      <w:pPr>
        <w:numPr>
          <w:ilvl w:val="0"/>
          <w:numId w:val="1012"/>
        </w:numPr>
        <w:pStyle w:val="Compact"/>
      </w:pPr>
      <w:r>
        <w:t xml:space="preserve">Total Energy Consumption over Lifespan: 5 years * 10 kWh/year = 50 kWh</w:t>
      </w:r>
    </w:p>
    <w:p>
      <w:pPr>
        <w:numPr>
          <w:ilvl w:val="0"/>
          <w:numId w:val="1012"/>
        </w:numPr>
        <w:pStyle w:val="Compact"/>
      </w:pPr>
      <w:r>
        <w:t xml:space="preserve">Emission Factor (EU average electricity): 0.25 kg CO2e/kWh</w:t>
      </w:r>
    </w:p>
    <w:p>
      <w:pPr>
        <w:numPr>
          <w:ilvl w:val="0"/>
          <w:numId w:val="1012"/>
        </w:numPr>
        <w:pStyle w:val="Compact"/>
      </w:pPr>
      <w:r>
        <w:rPr>
          <w:bCs/>
          <w:b/>
        </w:rPr>
        <w:t xml:space="preserve">Total Use Phase Emissions: 50 kWh * 0.25 kg CO2e/kWh = 12.5 kg CO2e</w:t>
      </w:r>
    </w:p>
    <w:bookmarkEnd w:id="35"/>
    <w:bookmarkStart w:id="36" w:name="Xa5452560e524a95929497a1f4f6e731bf35f329"/>
    <w:p>
      <w:pPr>
        <w:pStyle w:val="Heading3"/>
      </w:pPr>
      <w:r>
        <w:t xml:space="preserve">3.5. End-of-Life (EoL) Emissions (Scope 3 - Category 12: End-of-Life Treatment of Sold Products)</w:t>
      </w:r>
    </w:p>
    <w:p>
      <w:pPr>
        <w:pStyle w:val="FirstParagraph"/>
      </w:pPr>
      <w:r>
        <w:t xml:space="preserve">Considering 80% recyclability and a take-back program, a significant portion of the product\'s materials can be diverted from landfill or incineration. We calculate emissions for the non-recycled portion and acknowledge avoided emissions from recycling.</w:t>
      </w:r>
    </w:p>
    <w:p>
      <w:pPr>
        <w:numPr>
          <w:ilvl w:val="0"/>
          <w:numId w:val="1013"/>
        </w:numPr>
        <w:pStyle w:val="Compact"/>
      </w:pPr>
      <w:r>
        <w:t xml:space="preserve">Non-Recycled Portion: 100% - 80% = 20%</w:t>
      </w:r>
    </w:p>
    <w:p>
      <w:pPr>
        <w:numPr>
          <w:ilvl w:val="0"/>
          <w:numId w:val="1013"/>
        </w:numPr>
        <w:pStyle w:val="Compact"/>
      </w:pPr>
      <w:r>
        <w:t xml:space="preserve">Mass to EoL treatment (landfill/incineration): 0.20 * 1.0 kg (product weight) = 0.2 kg</w:t>
      </w:r>
    </w:p>
    <w:p>
      <w:pPr>
        <w:numPr>
          <w:ilvl w:val="0"/>
          <w:numId w:val="1013"/>
        </w:numPr>
        <w:pStyle w:val="Compact"/>
      </w:pPr>
      <w:r>
        <w:t xml:space="preserve">Emission Factor (for non-recycled waste): 0.5 kg CO2e/kg</w:t>
      </w:r>
    </w:p>
    <w:p>
      <w:pPr>
        <w:numPr>
          <w:ilvl w:val="0"/>
          <w:numId w:val="1013"/>
        </w:numPr>
        <w:pStyle w:val="Compact"/>
      </w:pPr>
      <w:r>
        <w:rPr>
          <w:bCs/>
          <w:b/>
        </w:rPr>
        <w:t xml:space="preserve">Total EoL Emissions: 0.2 kg * 0.5 kg CO2e/kg = 0.1 kg CO2e</w:t>
      </w:r>
    </w:p>
    <w:p>
      <w:pPr>
        <w:pStyle w:val="FirstParagraph"/>
      </w:pPr>
      <w:r>
        <w:t xml:space="preserve">The "Product Take-back Program in EU" further enhances circularity, potentially increasing actual recycling rates or improving material recovery beyond the baseline recyclability percentage, thus reducing the effective EoL emissions and maximizing resource value. Avoided emissions from recycling are a significant benefit that should be quantified in more advanced analyses but are acknowledged here qualitatively due to the complexity of specific material-by-material avoided burden factors.</w:t>
      </w:r>
    </w:p>
    <w:bookmarkEnd w:id="36"/>
    <w:bookmarkStart w:id="37" w:name="application-of-2026-lsr-update"/>
    <w:p>
      <w:pPr>
        <w:pStyle w:val="Heading3"/>
      </w:pPr>
      <w:r>
        <w:t xml:space="preserve">3.6. Application of 2026 LSR Update</w:t>
      </w:r>
    </w:p>
    <w:p>
      <w:pPr>
        <w:pStyle w:val="FirstParagraph"/>
      </w:pPr>
      <w:r>
        <w:t xml:space="preserve">The GHG Protocol Land Sector and Removals (LSR) Standard, taking effect January 1, 2027, provides essential requirements and guidance for quantifying land-based GHG emissions and removals. For this specific product (jphzogwjld), direct land-use change data associated with raw material extraction or specific bio-based components were not explicitly provided. However, adherence to the LSR standard implies that if such data becomes available (e.g., for agricultural raw materials, forestry products), it would be integrated to capture emissions and removals accurately (e.g., biogenic carbon sequestration in wood, emissions from deforestation). Currently, the direct impact is assumed to be minimal or indirect, primarily falling under upstream material emissions from industrial processes rather than direct land use.</w:t>
      </w:r>
    </w:p>
    <w:bookmarkEnd w:id="37"/>
    <w:bookmarkStart w:id="38" w:name="scope-3-compliance-95-coverage"/>
    <w:p>
      <w:pPr>
        <w:pStyle w:val="Heading3"/>
      </w:pPr>
      <w:r>
        <w:t xml:space="preserve">3.7. Scope 3 Compliance (95% Coverage)</w:t>
      </w:r>
    </w:p>
    <w:p>
      <w:pPr>
        <w:pStyle w:val="FirstParagraph"/>
      </w:pPr>
      <w:r>
        <w:t xml:space="preserve">This report has aimed for comprehensive Scope 3 coverage by addressing all relevant categories based on the provided parameters: Purchased Goods and Services (materials), Upstream Transportation, Downstream Transportation, Use of Sold Products, and End-of-Life Treatment of Sold Products. While direct primary data for every minor component might not be available, the significant categories are covered with specific data or robust industry estimates, supporting the aim for at least 95% coverage as per 2026 requirements. Further efforts for data collection on minor components would solidify this coverage.</w:t>
      </w:r>
    </w:p>
    <w:bookmarkEnd w:id="38"/>
    <w:bookmarkStart w:id="39" w:name="Xda41b246f2656c3fe507260097eb54ee6e2781a"/>
    <w:p>
      <w:pPr>
        <w:pStyle w:val="Heading3"/>
      </w:pPr>
      <w:r>
        <w:t xml:space="preserve">3.8. Summary of Product Carbon Footprint by Lifecycle Stage and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 Acquisition</w:t>
            </w:r>
          </w:p>
        </w:tc>
        <w:tc>
          <w:tcPr/>
          <w:p>
            <w:pPr>
              <w:pStyle w:val="Compact"/>
              <w:jc w:val="left"/>
            </w:pPr>
            <w:r>
              <w:t xml:space="preserve">Purchased Goods &amp; Services</w:t>
            </w:r>
          </w:p>
        </w:tc>
        <w:tc>
          <w:tcPr/>
          <w:p>
            <w:pPr>
              <w:pStyle w:val="Compact"/>
              <w:jc w:val="left"/>
            </w:pPr>
            <w:r>
              <w:t xml:space="preserve">Scope 3 (Upstream)</w:t>
            </w:r>
          </w:p>
        </w:tc>
        <w:tc>
          <w:tcPr/>
          <w:p>
            <w:pPr>
              <w:pStyle w:val="Compact"/>
              <w:jc w:val="left"/>
            </w:pPr>
            <w:r>
              <w:t xml:space="preserve">4.2000</w:t>
            </w:r>
          </w:p>
        </w:tc>
      </w:tr>
      <w:tr>
        <w:tc>
          <w:tcPr/>
          <w:p>
            <w:pPr>
              <w:pStyle w:val="Compact"/>
              <w:jc w:val="left"/>
            </w:pPr>
            <w:r>
              <w:t xml:space="preserve">Production Phase (Electricity)</w:t>
            </w:r>
          </w:p>
        </w:tc>
        <w:tc>
          <w:tcPr/>
          <w:p>
            <w:pPr>
              <w:pStyle w:val="Compact"/>
              <w:jc w:val="left"/>
            </w:pPr>
            <w:r>
              <w:t xml:space="preserve">Purchased Electricity</w:t>
            </w:r>
          </w:p>
        </w:tc>
        <w:tc>
          <w:tcPr/>
          <w:p>
            <w:pPr>
              <w:pStyle w:val="Compact"/>
              <w:jc w:val="left"/>
            </w:pPr>
            <w:r>
              <w:t xml:space="preserve">Scope 2</w:t>
            </w:r>
          </w:p>
        </w:tc>
        <w:tc>
          <w:tcPr/>
          <w:p>
            <w:pPr>
              <w:pStyle w:val="Compact"/>
              <w:jc w:val="left"/>
            </w:pPr>
            <w:r>
              <w:t xml:space="preserve">0.3027</w:t>
            </w:r>
          </w:p>
        </w:tc>
      </w:tr>
      <w:tr>
        <w:tc>
          <w:tcPr/>
          <w:p>
            <w:pPr>
              <w:pStyle w:val="Compact"/>
              <w:jc w:val="left"/>
            </w:pPr>
            <w:r>
              <w:t xml:space="preserve">Transportation (Primary &amp; Last-Mile)</w:t>
            </w:r>
          </w:p>
        </w:tc>
        <w:tc>
          <w:tcPr/>
          <w:p>
            <w:pPr>
              <w:pStyle w:val="Compact"/>
              <w:jc w:val="left"/>
            </w:pPr>
            <w:r>
              <w:t xml:space="preserve">Upstream &amp; Downstream Transportation</w:t>
            </w:r>
          </w:p>
        </w:tc>
        <w:tc>
          <w:tcPr/>
          <w:p>
            <w:pPr>
              <w:pStyle w:val="Compact"/>
              <w:jc w:val="left"/>
            </w:pPr>
            <w:r>
              <w:t xml:space="preserve">Scope 3 (Upstream &amp; Downstream)</w:t>
            </w:r>
          </w:p>
        </w:tc>
        <w:tc>
          <w:tcPr/>
          <w:p>
            <w:pPr>
              <w:pStyle w:val="Compact"/>
              <w:jc w:val="left"/>
            </w:pPr>
            <w:r>
              <w:t xml:space="preserve">0.0575</w:t>
            </w:r>
          </w:p>
        </w:tc>
      </w:tr>
      <w:tr>
        <w:tc>
          <w:tcPr/>
          <w:p>
            <w:pPr>
              <w:pStyle w:val="Compact"/>
              <w:jc w:val="left"/>
            </w:pPr>
            <w:r>
              <w:t xml:space="preserve">Use Phase</w:t>
            </w:r>
          </w:p>
        </w:tc>
        <w:tc>
          <w:tcPr/>
          <w:p>
            <w:pPr>
              <w:pStyle w:val="Compact"/>
              <w:jc w:val="left"/>
            </w:pPr>
            <w:r>
              <w:t xml:space="preserve">Use of Sold Products</w:t>
            </w:r>
          </w:p>
        </w:tc>
        <w:tc>
          <w:tcPr/>
          <w:p>
            <w:pPr>
              <w:pStyle w:val="Compact"/>
              <w:jc w:val="left"/>
            </w:pPr>
            <w:r>
              <w:t xml:space="preserve">Scope 3 (Downstream)</w:t>
            </w:r>
          </w:p>
        </w:tc>
        <w:tc>
          <w:tcPr/>
          <w:p>
            <w:pPr>
              <w:pStyle w:val="Compact"/>
              <w:jc w:val="left"/>
            </w:pPr>
            <w:r>
              <w:t xml:space="preserve">12.5000</w:t>
            </w:r>
          </w:p>
        </w:tc>
      </w:tr>
      <w:tr>
        <w:tc>
          <w:tcPr/>
          <w:p>
            <w:pPr>
              <w:pStyle w:val="Compact"/>
              <w:jc w:val="left"/>
            </w:pPr>
            <w:r>
              <w:t xml:space="preserve">End-of-Life</w:t>
            </w:r>
          </w:p>
        </w:tc>
        <w:tc>
          <w:tcPr/>
          <w:p>
            <w:pPr>
              <w:pStyle w:val="Compact"/>
              <w:jc w:val="left"/>
            </w:pPr>
            <w:r>
              <w:t xml:space="preserve">End-of-Life Treatment of Sold Products</w:t>
            </w:r>
          </w:p>
        </w:tc>
        <w:tc>
          <w:tcPr/>
          <w:p>
            <w:pPr>
              <w:pStyle w:val="Compact"/>
              <w:jc w:val="left"/>
            </w:pPr>
            <w:r>
              <w:t xml:space="preserve">Scope 3 (Downstream)</w:t>
            </w:r>
          </w:p>
        </w:tc>
        <w:tc>
          <w:tcPr/>
          <w:p>
            <w:pPr>
              <w:pStyle w:val="Compact"/>
              <w:jc w:val="left"/>
            </w:pPr>
            <w:r>
              <w:t xml:space="preserve">0.1000</w:t>
            </w:r>
          </w:p>
        </w:tc>
      </w:tr>
      <w:tr>
        <w:tc>
          <w:tcPr>
            <w:gridSpan w:val="3"/>
          </w:tcPr>
          <w:p>
            <w:pPr>
              <w:pStyle w:val="Compact"/>
              <w:jc w:val="right"/>
            </w:pPr>
            <w:r>
              <w:rPr>
                <w:bCs/>
                <w:b/>
              </w:rPr>
              <w:t xml:space="preserve">TOTAL PRODUCT CARBON FOOTPRINT</w:t>
            </w:r>
          </w:p>
        </w:tc>
        <w:tc>
          <w:tcPr/>
          <w:p>
            <w:pPr>
              <w:pStyle w:val="Compact"/>
              <w:jc w:val="left"/>
            </w:pPr>
            <w:r>
              <w:rPr>
                <w:bCs/>
                <w:b/>
              </w:rPr>
              <w:t xml:space="preserve">17.1602 kg CO2e</w:t>
            </w:r>
          </w:p>
        </w:tc>
      </w:tr>
    </w:tbl>
    <w:p>
      <w:r>
        <w:pict>
          <v:rect style="width:0;height:1.5pt" o:hralign="center" o:hrstd="t" o:hr="t"/>
        </w:pict>
      </w:r>
    </w:p>
    <w:bookmarkEnd w:id="39"/>
    <w:bookmarkEnd w:id="40"/>
    <w:bookmarkStart w:id="45" w:name="review-report-step-5"/>
    <w:p>
      <w:pPr>
        <w:pStyle w:val="Heading2"/>
      </w:pPr>
      <w:r>
        <w:t xml:space="preserve">4. Review &amp; Report (Step 5)</w:t>
      </w:r>
    </w:p>
    <w:bookmarkStart w:id="41" w:name="identification-of-hotspots"/>
    <w:p>
      <w:pPr>
        <w:pStyle w:val="Heading3"/>
      </w:pPr>
      <w:r>
        <w:t xml:space="preserve">4.1. Identification of Hotspots</w:t>
      </w:r>
    </w:p>
    <w:p>
      <w:pPr>
        <w:pStyle w:val="FirstParagraph"/>
      </w:pPr>
      <w:r>
        <w:t xml:space="preserve">Based on the calculations, the primary emission hotspots for jphzogwjld are:</w:t>
      </w:r>
    </w:p>
    <w:p>
      <w:pPr>
        <w:numPr>
          <w:ilvl w:val="0"/>
          <w:numId w:val="1014"/>
        </w:numPr>
        <w:pStyle w:val="Compact"/>
      </w:pPr>
      <w:r>
        <w:rPr>
          <w:bCs/>
          <w:b/>
        </w:rPr>
        <w:t xml:space="preserve">Use Phase (12.5 kg CO2e):</w:t>
      </w:r>
      <w:r>
        <w:t xml:space="preserve"> </w:t>
      </w:r>
      <w:r>
        <w:t xml:space="preserve">This is by far the largest contributor, accounting for approximately 72.8% of the total PCF. The electricity consumption during the product\'s 5-year lifespan is the dominant factor, highlighting the importance of energy efficiency in product design and user behavior.</w:t>
      </w:r>
    </w:p>
    <w:p>
      <w:pPr>
        <w:numPr>
          <w:ilvl w:val="0"/>
          <w:numId w:val="1014"/>
        </w:numPr>
        <w:pStyle w:val="Compact"/>
      </w:pPr>
      <w:r>
        <w:rPr>
          <w:bCs/>
          <w:b/>
        </w:rPr>
        <w:t xml:space="preserve">Material Acquisition (4.2 kg CO2e):</w:t>
      </w:r>
      <w:r>
        <w:t xml:space="preserve"> </w:t>
      </w:r>
      <w:r>
        <w:t xml:space="preserve">Represents about 24.5% of the total footprint, primarily driven by energy-intensive materials like Aluminium.</w:t>
      </w:r>
    </w:p>
    <w:p>
      <w:pPr>
        <w:numPr>
          <w:ilvl w:val="0"/>
          <w:numId w:val="1014"/>
        </w:numPr>
        <w:pStyle w:val="Compact"/>
      </w:pPr>
      <w:r>
        <w:rPr>
          <w:bCs/>
          <w:b/>
        </w:rPr>
        <w:t xml:space="preserve">Production Phase (0.3027 kg CO2e):</w:t>
      </w:r>
      <w:r>
        <w:t xml:space="preserve"> </w:t>
      </w:r>
      <w:r>
        <w:t xml:space="preserve">While significant, its impact is mitigated by the 70% renewable energy usage, showcasing the benefits of decarbonizing manufacturing operations.</w:t>
      </w:r>
    </w:p>
    <w:p>
      <w:pPr>
        <w:numPr>
          <w:ilvl w:val="0"/>
          <w:numId w:val="1014"/>
        </w:numPr>
        <w:pStyle w:val="Compact"/>
      </w:pPr>
      <w:r>
        <w:rPr>
          <w:bCs/>
          <w:b/>
        </w:rPr>
        <w:t xml:space="preserve">Transportation and End-of-Life:</w:t>
      </w:r>
      <w:r>
        <w:t xml:space="preserve"> </w:t>
      </w:r>
      <w:r>
        <w:t xml:space="preserve">These stages contribute a smaller, though still relevant, portion of the total footprint, emphasizing the need for efficient logistics and circular economy practices.</w:t>
      </w:r>
    </w:p>
    <w:bookmarkEnd w:id="41"/>
    <w:bookmarkStart w:id="42" w:name="reliability-assessment"/>
    <w:p>
      <w:pPr>
        <w:pStyle w:val="Heading3"/>
      </w:pPr>
      <w:r>
        <w:t xml:space="preserve">4.2. Reliability Assessment</w:t>
      </w:r>
    </w:p>
    <w:p>
      <w:pPr>
        <w:pStyle w:val="FirstParagraph"/>
      </w:pPr>
      <w:r>
        <w:t xml:space="preserve">The reliability of this PCF analysis is assessed as moderate to high, based on the following:</w:t>
      </w:r>
    </w:p>
    <w:p>
      <w:pPr>
        <w:numPr>
          <w:ilvl w:val="0"/>
          <w:numId w:val="1015"/>
        </w:numPr>
        <w:pStyle w:val="Compact"/>
      </w:pPr>
      <w:r>
        <w:rPr>
          <w:bCs/>
          <w:b/>
        </w:rPr>
        <w:t xml:space="preserve">Specific Data Utilization:</w:t>
      </w:r>
      <w:r>
        <w:t xml:space="preserve"> </w:t>
      </w:r>
      <w:r>
        <w:t xml:space="preserve">High accuracy is achieved by using detailed, product-specific BOM data, energy intensity, and logistics parameters provided by yuqwnkmjjp.</w:t>
      </w:r>
    </w:p>
    <w:p>
      <w:pPr>
        <w:numPr>
          <w:ilvl w:val="0"/>
          <w:numId w:val="1015"/>
        </w:numPr>
        <w:pStyle w:val="Compact"/>
      </w:pPr>
      <w:r>
        <w:rPr>
          <w:bCs/>
          <w:b/>
        </w:rPr>
        <w:t xml:space="preserve">Standard Adherence:</w:t>
      </w:r>
      <w:r>
        <w:t xml:space="preserve"> </w:t>
      </w:r>
      <w:r>
        <w:t xml:space="preserve">Strict adherence to the GHG Protocol ensures methodological robustness and international comparability.</w:t>
      </w:r>
    </w:p>
    <w:p>
      <w:pPr>
        <w:numPr>
          <w:ilvl w:val="0"/>
          <w:numId w:val="1015"/>
        </w:numPr>
        <w:pStyle w:val="Compact"/>
      </w:pPr>
      <w:r>
        <w:rPr>
          <w:bCs/>
          <w:b/>
        </w:rPr>
        <w:t xml:space="preserve">Assumptions for Placeholders:</w:t>
      </w:r>
      <w:r>
        <w:t xml:space="preserve"> </w:t>
      </w:r>
      <w:r>
        <w:t xml:space="preserve">Industry-average emission factors were used for generic categories (e.g., general electricity grids, typical transport modes, EoL processes) where specific primary data was not available for the placeholder values. This introduces some uncertainty but relies on widely accepted proxies.</w:t>
      </w:r>
    </w:p>
    <w:p>
      <w:pPr>
        <w:numPr>
          <w:ilvl w:val="0"/>
          <w:numId w:val="1015"/>
        </w:numPr>
        <w:pStyle w:val="Compact"/>
      </w:pPr>
      <w:r>
        <w:rPr>
          <w:bCs/>
          <w:b/>
        </w:rPr>
        <w:t xml:space="preserve">Scope 3 Coverage:</w:t>
      </w:r>
      <w:r>
        <w:t xml:space="preserve"> </w:t>
      </w:r>
      <w:r>
        <w:t xml:space="preserve">Efforts to achieve 95% Scope 3 coverage enhance the comprehensiveness, though minor categories might still rely on estimates.</w:t>
      </w:r>
    </w:p>
    <w:p>
      <w:pPr>
        <w:pStyle w:val="FirstParagraph"/>
      </w:pPr>
      <w:r>
        <w:t xml:space="preserve">Further improvements in reliability could be achieved through:</w:t>
      </w:r>
    </w:p>
    <w:p>
      <w:pPr>
        <w:numPr>
          <w:ilvl w:val="0"/>
          <w:numId w:val="1016"/>
        </w:numPr>
        <w:pStyle w:val="Compact"/>
      </w:pPr>
      <w:r>
        <w:t xml:space="preserve">Collecting primary data for all material supply chain processes, including specific supplier emissions.</w:t>
      </w:r>
    </w:p>
    <w:p>
      <w:pPr>
        <w:numPr>
          <w:ilvl w:val="0"/>
          <w:numId w:val="1016"/>
        </w:numPr>
        <w:pStyle w:val="Compact"/>
      </w:pPr>
      <w:r>
        <w:t xml:space="preserve">Using specific regional electricity grid mixes for all use-phase geographies, rather than an EU average.</w:t>
      </w:r>
    </w:p>
    <w:p>
      <w:pPr>
        <w:numPr>
          <w:ilvl w:val="0"/>
          <w:numId w:val="1016"/>
        </w:numPr>
        <w:pStyle w:val="Compact"/>
      </w:pPr>
      <w:r>
        <w:t xml:space="preserve">Detailed modeling of recycling benefits and EoL processes, including specific avoided emissions.</w:t>
      </w:r>
    </w:p>
    <w:bookmarkEnd w:id="42"/>
    <w:bookmarkStart w:id="44" w:name="recommendations-for-ghg-reduction"/>
    <w:p>
      <w:pPr>
        <w:pStyle w:val="Heading3"/>
      </w:pPr>
      <w:r>
        <w:t xml:space="preserve">4.3. Recommendations for GHG Reduction</w:t>
      </w:r>
    </w:p>
    <w:p>
      <w:pPr>
        <w:pStyle w:val="FirstParagraph"/>
      </w:pPr>
      <w:r>
        <w:t xml:space="preserve">To significantly reduce the carbon footprint of jphzogwjld, yuqwnkmjjp should focus on the identified hotspots:</w:t>
      </w:r>
    </w:p>
    <w:p>
      <w:pPr>
        <w:numPr>
          <w:ilvl w:val="0"/>
          <w:numId w:val="1017"/>
        </w:numPr>
        <w:pStyle w:val="Compact"/>
      </w:pPr>
      <w:r>
        <w:rPr>
          <w:bCs/>
          <w:b/>
        </w:rPr>
        <w:t xml:space="preserve">Optimize Use Phase Efficiency:</w:t>
      </w:r>
      <w:r>
        <w:t xml:space="preserve"> </w:t>
      </w:r>
      <w:r>
        <w:t xml:space="preserve">Given the dominance of the use phase, prioritize efforts to reduce the product\'s energy consumption during its lifespan. This could involve design for energy efficiency, implementing smart power management features, or exploring alternative, low-carbon power sources for product operation.</w:t>
      </w:r>
    </w:p>
    <w:p>
      <w:pPr>
        <w:numPr>
          <w:ilvl w:val="0"/>
          <w:numId w:val="1017"/>
        </w:numPr>
        <w:pStyle w:val="Compact"/>
      </w:pPr>
      <w:r>
        <w:rPr>
          <w:bCs/>
          <w:b/>
        </w:rPr>
        <w:t xml:space="preserve">Increase Renewable Energy Sourcing:</w:t>
      </w:r>
      <w:r>
        <w:t xml:space="preserve"> </w:t>
      </w:r>
      <w:r>
        <w:t xml:space="preserve">Continue and expand the use of renewable energy in manufacturing. Investigate opportunities to influence supply chain partners to adopt renewables for their processes (Scope 3, Category 3).</w:t>
      </w:r>
    </w:p>
    <w:p>
      <w:pPr>
        <w:numPr>
          <w:ilvl w:val="0"/>
          <w:numId w:val="1017"/>
        </w:numPr>
        <w:pStyle w:val="Compact"/>
      </w:pPr>
      <w:r>
        <w:rPr>
          <w:bCs/>
          <w:b/>
        </w:rPr>
        <w:t xml:space="preserve">Material Optimization:</w:t>
      </w:r>
      <w:r>
        <w:t xml:space="preserve"> </w:t>
      </w:r>
      <w:r>
        <w:t xml:space="preserve">Explore lighter-weight materials or those with lower embodied carbon for components like the Aluminium Casing. Investigate the feasibility and availability of recycled content materials to reduce upstream emissions (Scope 3, Category 1).</w:t>
      </w:r>
    </w:p>
    <w:p>
      <w:pPr>
        <w:numPr>
          <w:ilvl w:val="0"/>
          <w:numId w:val="1017"/>
        </w:numPr>
        <w:pStyle w:val="Compact"/>
      </w:pPr>
      <w:r>
        <w:rPr>
          <w:bCs/>
          <w:b/>
        </w:rPr>
        <w:t xml:space="preserve">Enhance Circularity:</w:t>
      </w:r>
      <w:r>
        <w:t xml:space="preserve"> </w:t>
      </w:r>
      <w:r>
        <w:t xml:space="preserve">Leverage the "Product Take-back Program in EU" to maximize material recovery and explore opportunities for repair, refurbishment, or reuse to extend product lifespan and reduce the need for new production. This directly impacts EoL emissions and reduces the need for new materials.</w:t>
      </w:r>
    </w:p>
    <w:p>
      <w:pPr>
        <w:numPr>
          <w:ilvl w:val="0"/>
          <w:numId w:val="1017"/>
        </w:numPr>
        <w:pStyle w:val="Compact"/>
      </w:pPr>
      <w:r>
        <w:rPr>
          <w:bCs/>
          <w:b/>
        </w:rPr>
        <w:t xml:space="preserve">Supplier Engagement:</w:t>
      </w:r>
      <w:r>
        <w:t xml:space="preserve"> </w:t>
      </w:r>
      <w:r>
        <w:t xml:space="preserve">Work collaboratively with key suppliers to obtain more specific, primary data for their emissions, thereby improving the accuracy of Scope 3 upstream calculations and identifying further reduction opportunities across the value chain.</w:t>
      </w:r>
    </w:p>
    <w:p>
      <w:pPr>
        <w:pStyle w:val="FirstParagraph"/>
      </w:pPr>
      <w:r>
        <w:t xml:space="preserve">Confidential - Internal Use Only</w:t>
      </w:r>
    </w:p>
    <w:p>
      <w:pPr>
        <w:pStyle w:val="BodyText"/>
      </w:pPr>
      <w:r>
        <w:t xml:space="preserve">Page</w:t>
      </w:r>
      <w:r>
        <w:t xml:space="preserve"> </w:t>
      </w:r>
      <w:bookmarkStart w:id="43" w:name="page-num"/>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jphzogwjld</dc:title>
  <dc:creator/>
  <dc:description>Detailed Product Carbon Footprint (PCF) analysis report for jphzogwjld by yuqwnkmjjp, specializing in GHG Protocol and 2026 LSR update.</dc:description>
  <cp:keywords/>
  <dcterms:created xsi:type="dcterms:W3CDTF">2026-07-15T05:30:40Z</dcterms:created>
  <dcterms:modified xsi:type="dcterms:W3CDTF">2026-07-15T05:30:40Z</dcterms:modified>
</cp:coreProperties>
</file>

<file path=docProps/custom.xml><?xml version="1.0" encoding="utf-8"?>
<Properties xmlns="http://schemas.openxmlformats.org/officeDocument/2006/custom-properties" xmlns:vt="http://schemas.openxmlformats.org/officeDocument/2006/docPropsVTypes"/>
</file>