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jopyriqdwg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jopyriqdwg</w:t>
      </w:r>
    </w:p>
    <w:p>
      <w:pPr>
        <w:pStyle w:val="BodyText"/>
      </w:pPr>
      <w:r>
        <w:rPr>
          <w:bCs/>
          <w:b/>
        </w:rPr>
        <w:t xml:space="preserve">Company Name:</w:t>
      </w:r>
      <w:r>
        <w:t xml:space="preserve"> </w:t>
      </w:r>
      <w:r>
        <w:t xml:space="preserve">gkziymrgim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ehfeilmozi</w:t>
      </w:r>
    </w:p>
    <w:p>
      <w:pPr>
        <w:pStyle w:val="BodyText"/>
      </w:pPr>
      <w:r>
        <w:t xml:space="preserve">Disclaimer: This report is generated based on available data and industry standards, including illustrative data where specific primary data for placeholders was not provided. The calculations and conclusions are intended for informational purposes and should be validated with specific operational data for precise environmental accounting.</w:t>
      </w:r>
    </w:p>
    <w:bookmarkEnd w:id="20"/>
    <w:p>
      <w:pPr>
        <w:pStyle w:val="BodyText"/>
      </w:pPr>
      <w:r>
        <w:t xml:space="preserve">Generated Date: May 27, 2026</w:t>
      </w:r>
    </w:p>
    <w:bookmarkStart w:id="36" w:name="Xb7bebbbda91d093c69875778d76a154a48a9a85"/>
    <w:p>
      <w:pPr>
        <w:pStyle w:val="Heading1"/>
      </w:pPr>
      <w:r>
        <w:t xml:space="preserve">Product Carbon Footprint Analysis for jopyriqdwg</w:t>
      </w:r>
    </w:p>
    <w:p>
      <w:pPr>
        <w:pStyle w:val="FirstParagraph"/>
      </w:pPr>
      <w:r>
        <w:t xml:space="preserve">As ehfeilmozi, Senior Sustainability Consultant specializing in GHG Protocol, I have performed a high-detail Product Carbon Footprint (PCF) analysis for the product jopyriqdwg, manufactured by gkziymrgim. This report adheres to the GHG Protocol\'s Corporate Standard and Scope 3 Standard, incorporating the latest 2026 updates, including the Land Sector and Removals (LSR) Standard and the 95% Scope 3 coverage rule.</w:t>
      </w:r>
    </w:p>
    <w:bookmarkStart w:id="21" w:name="executive-summary"/>
    <w:p>
      <w:pPr>
        <w:pStyle w:val="Heading2"/>
      </w:pPr>
      <w:r>
        <w:t xml:space="preserve">Executive Summary</w:t>
      </w:r>
    </w:p>
    <w:p>
      <w:pPr>
        <w:pStyle w:val="FirstParagraph"/>
      </w:pPr>
      <w:r>
        <w:t xml:space="preserve">This analysis provides a comprehensive assessment of the greenhouse gas (GHG) emissions associated with the lifecycle of jopyriqdwg, from raw material acquisition through manufacturing, distribution, use, and end-of-life. The total Product Carbon Footprint for one functional unit of jopyriqdwg is calculated to be **20.65 kg CO2e**. The primary emission hotspots are identified in the Use Phase and the Raw Materials Acquisition &amp; Pre-processing, highlighting areas for targeted decarbonization efforts. The report utilizes a combination of provided specific data and industry-standard emission factors to ensure a robust and transparent evaluation.</w:t>
      </w:r>
    </w:p>
    <w:p>
      <w:r>
        <w:pict>
          <v:rect style="width:0;height:1.5pt" o:hralign="center" o:hrstd="t" o:hr="t"/>
        </w:pict>
      </w:r>
    </w:p>
    <w:bookmarkEnd w:id="21"/>
    <w:bookmarkStart w:id="34" w:name="methodology"/>
    <w:p>
      <w:pPr>
        <w:pStyle w:val="Heading2"/>
      </w:pPr>
      <w:r>
        <w:t xml:space="preserve">Methodology</w:t>
      </w:r>
    </w:p>
    <w:p>
      <w:pPr>
        <w:pStyle w:val="FirstParagraph"/>
      </w:pPr>
      <w:r>
        <w:t xml:space="preserve">The Product Carbon Footprint (PCF) analysis for jopyriqdwg follows the five-step methodology prescribed by the GHG Protocol:</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The functional unit for this analysis is 1.0 unit of jopyriqdwg.</w:t>
      </w:r>
    </w:p>
    <w:p>
      <w:pPr>
        <w:numPr>
          <w:ilvl w:val="1"/>
          <w:numId w:val="1002"/>
        </w:numPr>
        <w:pStyle w:val="Compact"/>
      </w:pPr>
      <w:r>
        <w:rPr>
          <w:bCs/>
          <w:b/>
        </w:rPr>
        <w:t xml:space="preserve">System Boundary:</w:t>
      </w:r>
      <w:r>
        <w:t xml:space="preserve"> </w:t>
      </w:r>
      <w:r>
        <w:t xml:space="preserve">While the primary focus for initial production is \'factory_gate\', a comprehensive cradle-to-grave approach is adopted to fully capture emissions across the product\'s entire lifecycle, including downstream use and end-of-life phases, as required by the parameters. This includes raw material extraction, pre-processing, manufacturing, transportation, use, and disposal/recycling.</w:t>
      </w:r>
    </w:p>
    <w:p>
      <w:pPr>
        <w:numPr>
          <w:ilvl w:val="1"/>
          <w:numId w:val="1002"/>
        </w:numPr>
        <w:pStyle w:val="Compact"/>
      </w:pPr>
      <w:r>
        <w:rPr>
          <w:bCs/>
          <w:b/>
        </w:rPr>
        <w:t xml:space="preserve">Geographic Scope:</w:t>
      </w:r>
      <w:r>
        <w:t xml:space="preserve"> </w:t>
      </w:r>
      <w:r>
        <w:t xml:space="preserve">Final Production Country: China, with a Supply Chain Focus: Europe Focused. This implies considering country-specific energy grids and transport distances relevant to these regions.</w:t>
      </w:r>
    </w:p>
    <w:p>
      <w:pPr>
        <w:numPr>
          <w:ilvl w:val="1"/>
          <w:numId w:val="1002"/>
        </w:numPr>
        <w:pStyle w:val="Compact"/>
      </w:pPr>
      <w:r>
        <w:rPr>
          <w:bCs/>
          <w:b/>
        </w:rPr>
        <w:t xml:space="preserve">Allocation:</w:t>
      </w:r>
      <w:r>
        <w:t xml:space="preserve"> </w:t>
      </w:r>
      <w:r>
        <w:t xml:space="preserve">Emissions are allocated based on physical mass for materials and energy consumption during production and use.</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jopyriqdwg is mapped across the following stages, categorized according to the GHG Protocol:</w:t>
      </w:r>
    </w:p>
    <w:p>
      <w:pPr>
        <w:numPr>
          <w:ilvl w:val="1"/>
          <w:numId w:val="1003"/>
        </w:numPr>
        <w:pStyle w:val="Compact"/>
      </w:pPr>
      <w:r>
        <w:rPr>
          <w:bCs/>
          <w:b/>
        </w:rPr>
        <w:t xml:space="preserve">Raw Materials Acquisition &amp; Pre-processing (GHG Protocol Scope 3, Category 1 - Purchased Goods and Services):</w:t>
      </w:r>
      <w:r>
        <w:t xml:space="preserve"> </w:t>
      </w:r>
      <w:r>
        <w:t xml:space="preserve">Emissions from the extraction, processing, and manufacturing of all constituent materials in the Detailed Bill of Materials (BOM).</w:t>
      </w:r>
    </w:p>
    <w:p>
      <w:pPr>
        <w:numPr>
          <w:ilvl w:val="1"/>
          <w:numId w:val="1003"/>
        </w:numPr>
        <w:pStyle w:val="Compact"/>
      </w:pPr>
      <w:r>
        <w:rPr>
          <w:bCs/>
          <w:b/>
        </w:rPr>
        <w:t xml:space="preserve">Manufacturing/Production (GHG Protocol Scope 1 &amp; 2, and Scope 3, Category 3 - Fuel- and Energy-Related Activities):</w:t>
      </w:r>
      <w:r>
        <w:t xml:space="preserve"> </w:t>
      </w:r>
      <w:r>
        <w:t xml:space="preserve">Direct emissions from company-owned or controlled sources (Scope 1), emissions from purchased electricity (Scope 2), and upstream emissions associated with fuel and energy (Scope 3, Category 3).</w:t>
      </w:r>
    </w:p>
    <w:p>
      <w:pPr>
        <w:numPr>
          <w:ilvl w:val="1"/>
          <w:numId w:val="1003"/>
        </w:numPr>
        <w:pStyle w:val="Compact"/>
      </w:pPr>
      <w:r>
        <w:rPr>
          <w:bCs/>
          <w:b/>
        </w:rPr>
        <w:t xml:space="preserve">Transportation (GHG Protocol Scope 3, Category 4 - Upstream Transportation and Distribution &amp; Category 9 - Downstream Transportation and Distribution):</w:t>
      </w:r>
      <w:r>
        <w:t xml:space="preserve"> </w:t>
      </w:r>
      <w:r>
        <w:t xml:space="preserve">Emissions from inbound logistics of raw materials to the factory, outbound logistics of finished products to distribution centers/customers, and last-mile delivery.</w:t>
      </w:r>
    </w:p>
    <w:p>
      <w:pPr>
        <w:numPr>
          <w:ilvl w:val="1"/>
          <w:numId w:val="1003"/>
        </w:numPr>
        <w:pStyle w:val="Compact"/>
      </w:pPr>
      <w:r>
        <w:rPr>
          <w:bCs/>
          <w:b/>
        </w:rPr>
        <w:t xml:space="preserve">Use Phase (GHG Protocol Scope 3, Category 11 - Use of Sold Products):</w:t>
      </w:r>
      <w:r>
        <w:t xml:space="preserve"> </w:t>
      </w:r>
      <w:r>
        <w:t xml:space="preserve">Emissions resulting from the energy consumption during the product\'s lifespan.</w:t>
      </w:r>
    </w:p>
    <w:p>
      <w:pPr>
        <w:numPr>
          <w:ilvl w:val="1"/>
          <w:numId w:val="1003"/>
        </w:numPr>
        <w:pStyle w:val="Compact"/>
      </w:pPr>
      <w:r>
        <w:rPr>
          <w:bCs/>
          <w:b/>
        </w:rPr>
        <w:t xml:space="preserve">End-of-Life (EoL) (GHG Protocol Scope 3, Category 12 - End-of-Life Treatment of Sold Products):</w:t>
      </w:r>
      <w:r>
        <w:t xml:space="preserve"> </w:t>
      </w:r>
      <w:r>
        <w:t xml:space="preserve">Emissions and potential avoided emissions (credits) from waste treatment, including recycling and disposal.</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collection involves both primary data provided for gkziymrgim and jopyriqdwg, and secondary data from reputable industry-standard databases (e.g., Ecoinvent, DEFRA) for emission factors. The 2026 GHG Protocol updates emphasize the mandatory disaggregation of emissions data by source type (primary vs. secondary) to improve data quality and transparency.</w:t>
      </w:r>
    </w:p>
    <w:p>
      <w:pPr>
        <w:numPr>
          <w:ilvl w:val="0"/>
          <w:numId w:val="1000"/>
        </w:numPr>
        <w:pStyle w:val="Heading4"/>
      </w:pPr>
      <w:bookmarkStart w:id="25" w:name="X1884b2ecd154a1f0a7f4dc5309fe8c6b956f30a"/>
      <w:r>
        <w:t xml:space="preserve">Detailed Breakdown of Materials (Using provided BOM: kwynofhz - Illustrative Data)</w:t>
      </w:r>
      <w:bookmarkEnd w:id="25"/>
    </w:p>
    <w:p>
      <w:pPr>
        <w:numPr>
          <w:ilvl w:val="0"/>
          <w:numId w:val="1000"/>
        </w:numPr>
      </w:pPr>
      <w:r>
        <w:t xml:space="preserve">The provided Detailed Bill of Materials (BOM) \'kwynofhz\' is used to calculate high-accuracy material impact. For demonstration, the following illustrative BOM data is used:</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E001</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5.0</w:t>
            </w:r>
          </w:p>
        </w:tc>
        <w:tc>
          <w:tcPr/>
          <w:p>
            <w:pPr>
              <w:pStyle w:val="Compact"/>
              <w:jc w:val="left"/>
            </w:pPr>
            <w:r>
              <w:t xml:space="preserve">1.50</w:t>
            </w:r>
          </w:p>
        </w:tc>
      </w:tr>
      <w:tr>
        <w:tc>
          <w:tcPr/>
          <w:p>
            <w:pPr>
              <w:pStyle w:val="Compact"/>
              <w:jc w:val="left"/>
            </w:pPr>
            <w:r>
              <w:t xml:space="preserve">P001</w:t>
            </w:r>
          </w:p>
        </w:tc>
        <w:tc>
          <w:tcPr/>
          <w:p>
            <w:pPr>
              <w:pStyle w:val="Compact"/>
              <w:jc w:val="left"/>
            </w:pPr>
            <w:r>
              <w:t xml:space="preserve">Corrugated Cardboard Box</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4"/>
          </w:tcPr>
          <w:p>
            <w:pPr>
              <w:pStyle w:val="Compact"/>
              <w:jc w:val="left"/>
            </w:pPr>
            <w:r>
              <w:t xml:space="preserve">Total Product Weight</w:t>
            </w:r>
          </w:p>
        </w:tc>
        <w:tc>
          <w:tcPr/>
          <w:p>
            <w:pPr>
              <w:pStyle w:val="Compact"/>
              <w:jc w:val="left"/>
            </w:pPr>
            <w:r>
              <w:t xml:space="preserve">1.40 kg</w:t>
            </w:r>
          </w:p>
        </w:tc>
        <w:tc>
          <w:tcPr>
            <w:gridSpan w:val="2"/>
          </w:tcPr>
          <w:p>
            <w:pPr>
              <w:pStyle w:val="Compact"/>
              <w:jc w:val="left"/>
            </w:pPr>
            <w:r>
              <w:t xml:space="preserve">Total Material Carbon Footprint</w:t>
            </w:r>
          </w:p>
        </w:tc>
        <w:tc>
          <w:tcPr/>
          <w:p>
            <w:pPr>
              <w:pStyle w:val="Compact"/>
              <w:jc w:val="left"/>
            </w:pPr>
            <w:r>
              <w:t xml:space="preserve">6.56 kg CO2e</w:t>
            </w:r>
          </w:p>
        </w:tc>
      </w:tr>
    </w:tbl>
    <w:p>
      <w:pPr>
        <w:numPr>
          <w:ilvl w:val="0"/>
          <w:numId w:val="1000"/>
        </w:numPr>
        <w:pStyle w:val="Heading4"/>
      </w:pPr>
      <w:bookmarkStart w:id="26" w:name="Xa1f3588b154825e860e84240b0e2ea025ef4d65"/>
      <w:r>
        <w:t xml:space="preserve">Energy Inputs &amp; Logistics Data (Illustrative Data)</w:t>
      </w:r>
      <w:bookmarkEnd w:id="26"/>
    </w:p>
    <w:p>
      <w:pPr>
        <w:numPr>
          <w:ilvl w:val="1"/>
          <w:numId w:val="1004"/>
        </w:numPr>
        <w:pStyle w:val="Compact"/>
      </w:pPr>
      <w:r>
        <w:rPr>
          <w:bCs/>
          <w:b/>
        </w:rPr>
        <w:t xml:space="preserve">Production Energy Intensity:</w:t>
      </w:r>
      <w:r>
        <w:t xml:space="preserve"> </w:t>
      </w:r>
      <w:r>
        <w:t xml:space="preserve">sfqkslfojy (5 kWh/unit)</w:t>
      </w:r>
    </w:p>
    <w:p>
      <w:pPr>
        <w:numPr>
          <w:ilvl w:val="1"/>
          <w:numId w:val="1004"/>
        </w:numPr>
        <w:pStyle w:val="Compact"/>
      </w:pPr>
      <w:r>
        <w:rPr>
          <w:bCs/>
          <w:b/>
        </w:rPr>
        <w:t xml:space="preserve">Renewable Energy Usage (in Production):</w:t>
      </w:r>
      <w:r>
        <w:t xml:space="preserve"> </w:t>
      </w:r>
      <w:r>
        <w:t xml:space="preserve">fpstunstis (70%)</w:t>
      </w:r>
    </w:p>
    <w:p>
      <w:pPr>
        <w:numPr>
          <w:ilvl w:val="1"/>
          <w:numId w:val="1004"/>
        </w:numPr>
        <w:pStyle w:val="Compact"/>
      </w:pPr>
      <w:r>
        <w:rPr>
          <w:bCs/>
          <w:b/>
        </w:rPr>
        <w:t xml:space="preserve">Main Transport Mode:</w:t>
      </w:r>
      <w:r>
        <w:t xml:space="preserve"> </w:t>
      </w:r>
      <w:r>
        <w:t xml:space="preserve">Select Mode (Ocean Freight - Container Ship)</w:t>
      </w:r>
    </w:p>
    <w:p>
      <w:pPr>
        <w:numPr>
          <w:ilvl w:val="1"/>
          <w:numId w:val="1004"/>
        </w:numPr>
        <w:pStyle w:val="Compact"/>
      </w:pPr>
      <w:r>
        <w:rPr>
          <w:bCs/>
          <w:b/>
        </w:rPr>
        <w:t xml:space="preserve">Main Transport Distance:</w:t>
      </w:r>
      <w:r>
        <w:t xml:space="preserve"> </w:t>
      </w:r>
      <w:r>
        <w:t xml:space="preserve">zjmqxllvpu (15,000 km)</w:t>
      </w:r>
    </w:p>
    <w:p>
      <w:pPr>
        <w:numPr>
          <w:ilvl w:val="1"/>
          <w:numId w:val="1004"/>
        </w:numPr>
        <w:pStyle w:val="Compact"/>
      </w:pPr>
      <w:r>
        <w:rPr>
          <w:bCs/>
          <w:b/>
        </w:rPr>
        <w:t xml:space="preserve">Last-Mile Delivery Channel:</w:t>
      </w:r>
      <w:r>
        <w:t xml:space="preserve"> </w:t>
      </w:r>
      <w:r>
        <w:t xml:space="preserve">Delivery Type (Road Freight - Parcel Delivery) - Assumed 500 km for last-mile.</w:t>
      </w:r>
    </w:p>
    <w:p>
      <w:pPr>
        <w:numPr>
          <w:ilvl w:val="1"/>
          <w:numId w:val="1004"/>
        </w:numPr>
        <w:pStyle w:val="Compact"/>
      </w:pPr>
      <w:r>
        <w:rPr>
          <w:bCs/>
          <w:b/>
        </w:rPr>
        <w:t xml:space="preserve">Product Lifespan:</w:t>
      </w:r>
      <w:r>
        <w:t xml:space="preserve"> </w:t>
      </w:r>
      <w:r>
        <w:t xml:space="preserve">zveumkxumw (5 years)</w:t>
      </w:r>
    </w:p>
    <w:p>
      <w:pPr>
        <w:numPr>
          <w:ilvl w:val="1"/>
          <w:numId w:val="1004"/>
        </w:numPr>
        <w:pStyle w:val="Compact"/>
      </w:pPr>
      <w:r>
        <w:rPr>
          <w:bCs/>
          <w:b/>
        </w:rPr>
        <w:t xml:space="preserve">Energy Consumption in Use:</w:t>
      </w:r>
      <w:r>
        <w:t xml:space="preserve"> </w:t>
      </w:r>
      <w:r>
        <w:t xml:space="preserve">zkrrwpwler (10 kWh/year)</w:t>
      </w:r>
    </w:p>
    <w:p>
      <w:pPr>
        <w:numPr>
          <w:ilvl w:val="1"/>
          <w:numId w:val="1004"/>
        </w:numPr>
        <w:pStyle w:val="Compact"/>
      </w:pPr>
      <w:r>
        <w:rPr>
          <w:bCs/>
          <w:b/>
        </w:rPr>
        <w:t xml:space="preserve">Recyclability Percentage:</w:t>
      </w:r>
      <w:r>
        <w:t xml:space="preserve"> </w:t>
      </w:r>
      <w:r>
        <w:t xml:space="preserve">eovpqkxrfj (80%)</w:t>
      </w:r>
    </w:p>
    <w:p>
      <w:pPr>
        <w:numPr>
          <w:ilvl w:val="1"/>
          <w:numId w:val="1004"/>
        </w:numPr>
        <w:pStyle w:val="Compact"/>
      </w:pPr>
      <w:r>
        <w:rPr>
          <w:bCs/>
          <w:b/>
        </w:rPr>
        <w:t xml:space="preserve">Circular/Take-back Programs:</w:t>
      </w:r>
      <w:r>
        <w:t xml:space="preserve"> </w:t>
      </w:r>
      <w:r>
        <w:t xml:space="preserve">lltpzswrnm (Comprehensive take-back programs are implemented, influencing EoL credits.)</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are calculated for each lifecycle stage. Illustrative emission factors (EFs) are derived from industry standards (e.g., Ecoinvent, DEFRA) and reflect the geographic scope.</w:t>
      </w:r>
    </w:p>
    <w:p>
      <w:pPr>
        <w:numPr>
          <w:ilvl w:val="0"/>
          <w:numId w:val="1000"/>
        </w:numPr>
        <w:pStyle w:val="Heading4"/>
      </w:pPr>
      <w:bookmarkStart w:id="28" w:name="Xe189ebb73112f41c096e522365d63f3197f68d1"/>
      <w:r>
        <w:t xml:space="preserve">Emission Factor References (Illustrative Values Used):</w:t>
      </w:r>
      <w:bookmarkEnd w:id="28"/>
    </w:p>
    <w:p>
      <w:pPr>
        <w:numPr>
          <w:ilvl w:val="1"/>
          <w:numId w:val="1005"/>
        </w:numPr>
        <w:pStyle w:val="Compact"/>
      </w:pPr>
      <w:r>
        <w:rPr>
          <w:bCs/>
          <w:b/>
        </w:rPr>
        <w:t xml:space="preserve">Electricity (China Grid):</w:t>
      </w:r>
      <w:r>
        <w:t xml:space="preserve"> </w:t>
      </w:r>
      <w:r>
        <w:t xml:space="preserve">0.68 kg CO2e/kWh (Based on recent Chinese grid mix estimates)</w:t>
      </w:r>
    </w:p>
    <w:p>
      <w:pPr>
        <w:numPr>
          <w:ilvl w:val="1"/>
          <w:numId w:val="1005"/>
        </w:numPr>
        <w:pStyle w:val="Compact"/>
      </w:pPr>
      <w:r>
        <w:rPr>
          <w:bCs/>
          <w:b/>
        </w:rPr>
        <w:t xml:space="preserve">Renewable Electricity:</w:t>
      </w:r>
      <w:r>
        <w:t xml:space="preserve"> </w:t>
      </w:r>
      <w:r>
        <w:t xml:space="preserve">0.05 kg CO2e/kWh (for upstream infrastructure emissions)</w:t>
      </w:r>
    </w:p>
    <w:p>
      <w:pPr>
        <w:numPr>
          <w:ilvl w:val="1"/>
          <w:numId w:val="1005"/>
        </w:numPr>
        <w:pStyle w:val="Compact"/>
      </w:pPr>
      <w:r>
        <w:rPr>
          <w:bCs/>
          <w:b/>
        </w:rPr>
        <w:t xml:space="preserve">Ocean Freight:</w:t>
      </w:r>
      <w:r>
        <w:t xml:space="preserve"> </w:t>
      </w:r>
      <w:r>
        <w:t xml:space="preserve">0.016 kg CO2e/tonne-km (Container ship average)</w:t>
      </w:r>
    </w:p>
    <w:p>
      <w:pPr>
        <w:numPr>
          <w:ilvl w:val="1"/>
          <w:numId w:val="1005"/>
        </w:numPr>
        <w:pStyle w:val="Compact"/>
      </w:pPr>
      <w:r>
        <w:rPr>
          <w:bCs/>
          <w:b/>
        </w:rPr>
        <w:t xml:space="preserve">Road Freight:</w:t>
      </w:r>
      <w:r>
        <w:t xml:space="preserve"> </w:t>
      </w:r>
      <w:r>
        <w:t xml:space="preserve">0.07 kg CO2e/tonne-km (General road freight)</w:t>
      </w:r>
    </w:p>
    <w:p>
      <w:pPr>
        <w:numPr>
          <w:ilvl w:val="1"/>
          <w:numId w:val="1005"/>
        </w:numPr>
        <w:pStyle w:val="Compact"/>
      </w:pPr>
      <w:r>
        <w:rPr>
          <w:bCs/>
          <w:b/>
        </w:rPr>
        <w:t xml:space="preserve">Plastics (Virgin):</w:t>
      </w:r>
      <w:r>
        <w:t xml:space="preserve"> </w:t>
      </w:r>
      <w:r>
        <w:t xml:space="preserve">3.0 kg CO2e/kg</w:t>
      </w:r>
    </w:p>
    <w:p>
      <w:pPr>
        <w:numPr>
          <w:ilvl w:val="1"/>
          <w:numId w:val="1005"/>
        </w:numPr>
        <w:pStyle w:val="Compact"/>
      </w:pPr>
      <w:r>
        <w:rPr>
          <w:bCs/>
          <w:b/>
        </w:rPr>
        <w:t xml:space="preserve">Electronics:</w:t>
      </w:r>
      <w:r>
        <w:t xml:space="preserve"> </w:t>
      </w:r>
      <w:r>
        <w:t xml:space="preserve">25.0 kg CO2e/kg (High intensity due to complex manufacturing and materials)</w:t>
      </w:r>
    </w:p>
    <w:p>
      <w:pPr>
        <w:numPr>
          <w:ilvl w:val="1"/>
          <w:numId w:val="1005"/>
        </w:numPr>
        <w:pStyle w:val="Compact"/>
      </w:pPr>
      <w:r>
        <w:rPr>
          <w:bCs/>
          <w:b/>
        </w:rPr>
        <w:t xml:space="preserve">Metals (General):</w:t>
      </w:r>
      <w:r>
        <w:t xml:space="preserve"> </w:t>
      </w:r>
      <w:r>
        <w:t xml:space="preserve">5.0 kg CO2e/kg (Approximation for aluminum/steel components)</w:t>
      </w:r>
    </w:p>
    <w:p>
      <w:pPr>
        <w:numPr>
          <w:ilvl w:val="1"/>
          <w:numId w:val="1005"/>
        </w:numPr>
        <w:pStyle w:val="Compact"/>
      </w:pPr>
      <w:r>
        <w:rPr>
          <w:bCs/>
          <w:b/>
        </w:rPr>
        <w:t xml:space="preserve">Cardboard (Virgin):</w:t>
      </w:r>
      <w:r>
        <w:t xml:space="preserve"> </w:t>
      </w:r>
      <w:r>
        <w:t xml:space="preserve">0.8 kg CO2e/kg</w:t>
      </w:r>
    </w:p>
    <w:p>
      <w:pPr>
        <w:numPr>
          <w:ilvl w:val="1"/>
          <w:numId w:val="1005"/>
        </w:numPr>
        <w:pStyle w:val="Compact"/>
      </w:pPr>
      <w:r>
        <w:rPr>
          <w:bCs/>
          <w:b/>
        </w:rPr>
        <w:t xml:space="preserve">Landfill:</w:t>
      </w:r>
      <w:r>
        <w:t xml:space="preserve"> </w:t>
      </w:r>
      <w:r>
        <w:t xml:space="preserve">0.5 kg CO2e/kg (for non-recyclable waste)</w:t>
      </w:r>
    </w:p>
    <w:p>
      <w:pPr>
        <w:numPr>
          <w:ilvl w:val="1"/>
          <w:numId w:val="1005"/>
        </w:numPr>
        <w:pStyle w:val="Compact"/>
      </w:pPr>
      <w:r>
        <w:rPr>
          <w:bCs/>
          <w:b/>
        </w:rPr>
        <w:t xml:space="preserve">Recycling Credit:</w:t>
      </w:r>
      <w:r>
        <w:t xml:space="preserve"> </w:t>
      </w:r>
      <w:r>
        <w:t xml:space="preserve">-1.0 kg CO2e/kg (Illustrative credit for avoided virgin material production)</w:t>
      </w:r>
    </w:p>
    <w:p>
      <w:pPr>
        <w:numPr>
          <w:ilvl w:val="0"/>
          <w:numId w:val="1000"/>
        </w:numPr>
        <w:pStyle w:val="Heading4"/>
      </w:pPr>
      <w:bookmarkStart w:id="29" w:name="lifecycle-emission-calculation-summary"/>
      <w:r>
        <w:t xml:space="preserve">Lifecycle Emission Calculation Summary</w:t>
      </w:r>
      <w:bookmarkEnd w:id="29"/>
    </w:p>
    <w:tbl>
      <w:tblPr>
        <w:tblStyle w:val="Table"/>
        <w:tblW w:type="auto" w:w="0"/>
        <w:tblLook w:firstRow="1" w:lastRow="1"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Raw Materials Acquisition &amp; Pre-processing</w:t>
            </w:r>
          </w:p>
        </w:tc>
        <w:tc>
          <w:tcPr/>
          <w:p>
            <w:pPr>
              <w:pStyle w:val="Compact"/>
              <w:jc w:val="left"/>
            </w:pPr>
            <w:r>
              <w:t xml:space="preserve">Scope 3, Category 1</w:t>
            </w:r>
          </w:p>
        </w:tc>
        <w:tc>
          <w:tcPr/>
          <w:p>
            <w:pPr>
              <w:pStyle w:val="Compact"/>
              <w:jc w:val="left"/>
            </w:pPr>
            <w:r>
              <w:t xml:space="preserve">Calculated directly from illustrative BOM.</w:t>
            </w:r>
          </w:p>
        </w:tc>
        <w:tc>
          <w:tcPr/>
          <w:p>
            <w:pPr>
              <w:pStyle w:val="Compact"/>
              <w:jc w:val="left"/>
            </w:pPr>
            <w:r>
              <w:t xml:space="preserve">6.56</w:t>
            </w:r>
          </w:p>
        </w:tc>
      </w:tr>
      <w:tr>
        <w:tc>
          <w:tcPr/>
          <w:p>
            <w:pPr>
              <w:pStyle w:val="Compact"/>
              <w:jc w:val="left"/>
            </w:pPr>
            <w:r>
              <w:rPr>
                <w:bCs/>
                <w:b/>
              </w:rPr>
              <w:t xml:space="preserve">Manufacturing/Production</w:t>
            </w:r>
          </w:p>
        </w:tc>
        <w:tc>
          <w:tcPr/>
          <w:p>
            <w:pPr>
              <w:pStyle w:val="Compact"/>
              <w:jc w:val="left"/>
            </w:pPr>
            <w:r>
              <w:t xml:space="preserve">Scope 2 (Purchased Electricity)</w:t>
            </w:r>
          </w:p>
        </w:tc>
        <w:tc>
          <w:tcPr/>
          <w:p>
            <w:pPr>
              <w:pStyle w:val="Compact"/>
              <w:jc w:val="left"/>
            </w:pPr>
            <w:r>
              <w:t xml:space="preserve">5 kWh/unit * (1 - 0.70) * 0.68 kgCO2e/kWh (Grid) + 5 kWh/unit * 0.70 * 0.05 kgCO2e/kWh (Renewable)</w:t>
            </w:r>
          </w:p>
        </w:tc>
        <w:tc>
          <w:tcPr/>
          <w:p>
            <w:pPr>
              <w:pStyle w:val="Compact"/>
              <w:jc w:val="left"/>
            </w:pPr>
            <w:r>
              <w:t xml:space="preserve">1.195</w:t>
            </w:r>
          </w:p>
        </w:tc>
      </w:tr>
      <w:tr>
        <w:tc>
          <w:tcPr/>
          <w:p>
            <w:pPr>
              <w:pStyle w:val="Compact"/>
            </w:pPr>
          </w:p>
        </w:tc>
        <w:tc>
          <w:tcPr/>
          <w:p>
            <w:pPr>
              <w:pStyle w:val="Compact"/>
              <w:jc w:val="left"/>
            </w:pPr>
            <w:r>
              <w:t xml:space="preserve">Scope 1 (Direct Emissions)</w:t>
            </w:r>
          </w:p>
        </w:tc>
        <w:tc>
          <w:tcPr/>
          <w:p>
            <w:pPr>
              <w:pStyle w:val="Compact"/>
              <w:jc w:val="left"/>
            </w:pPr>
            <w:r>
              <w:t xml:space="preserve">(Assumed negligible for this product, unless specified e.g., on-site fuel use, process emissions not covered by purchased materials)</w:t>
            </w:r>
          </w:p>
        </w:tc>
        <w:tc>
          <w:tcPr/>
          <w:p>
            <w:pPr>
              <w:pStyle w:val="Compact"/>
              <w:jc w:val="left"/>
            </w:pPr>
            <w:r>
              <w:t xml:space="preserve">0.00</w:t>
            </w:r>
          </w:p>
        </w:tc>
      </w:tr>
      <w:tr>
        <w:tc>
          <w:tcPr/>
          <w:p>
            <w:pPr>
              <w:pStyle w:val="Compact"/>
              <w:jc w:val="left"/>
            </w:pPr>
            <w:r>
              <w:rPr>
                <w:bCs/>
                <w:b/>
              </w:rPr>
              <w:t xml:space="preserve">Transportation (Upstream &amp; Downstream)</w:t>
            </w:r>
          </w:p>
        </w:tc>
        <w:tc>
          <w:tcPr/>
          <w:p>
            <w:pPr>
              <w:pStyle w:val="Compact"/>
              <w:jc w:val="left"/>
            </w:pPr>
            <w:r>
              <w:t xml:space="preserve">Scope 3, Category 4 &amp; 9</w:t>
            </w:r>
          </w:p>
        </w:tc>
        <w:tc>
          <w:tcPr/>
          <w:p>
            <w:pPr>
              <w:pStyle w:val="Compact"/>
              <w:jc w:val="left"/>
            </w:pPr>
            <w:r>
              <w:t xml:space="preserve">Ocean Freight (1.4 kg * 15,000 km * 0.016 kgCO2e/tonne-km) + Road Freight Last-Mile (1.4 kg * 500 km * 0.07 kgCO2e/tonne-km)</w:t>
            </w:r>
          </w:p>
        </w:tc>
        <w:tc>
          <w:tcPr/>
          <w:p>
            <w:pPr>
              <w:pStyle w:val="Compact"/>
              <w:jc w:val="left"/>
            </w:pPr>
            <w:r>
              <w:t xml:space="preserve">0.336 + 0.049 = 0.385</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10 kWh/year * 5 years * 0.3 kgCO2e/kWh (average user grid mix)</w:t>
            </w:r>
          </w:p>
        </w:tc>
        <w:tc>
          <w:tcPr/>
          <w:p>
            <w:pPr>
              <w:pStyle w:val="Compact"/>
              <w:jc w:val="left"/>
            </w:pPr>
            <w:r>
              <w:t xml:space="preserve">15.00</w:t>
            </w:r>
          </w:p>
        </w:tc>
      </w:tr>
      <w:tr>
        <w:tc>
          <w:tcPr/>
          <w:p>
            <w:pPr>
              <w:pStyle w:val="Compact"/>
              <w:jc w:val="left"/>
            </w:pPr>
            <w:r>
              <w:rPr>
                <w:bCs/>
                <w:b/>
              </w:rPr>
              <w:t xml:space="preserve">End-of-Life (EoL)</w:t>
            </w:r>
          </w:p>
        </w:tc>
        <w:tc>
          <w:tcPr/>
          <w:p>
            <w:pPr>
              <w:pStyle w:val="Compact"/>
              <w:jc w:val="left"/>
            </w:pPr>
            <w:r>
              <w:t xml:space="preserve">Scope 3, Category 12</w:t>
            </w:r>
          </w:p>
        </w:tc>
        <w:tc>
          <w:tcPr/>
          <w:p>
            <w:pPr>
              <w:pStyle w:val="Compact"/>
              <w:jc w:val="left"/>
            </w:pPr>
            <w:r>
              <w:t xml:space="preserve">Landfill (0.28 kg * 0.5 kgCO2e/kg) + Recycling Credit (1.12 kg * -1.0 kgCO2e/kg)</w:t>
            </w:r>
          </w:p>
        </w:tc>
        <w:tc>
          <w:tcPr/>
          <w:p>
            <w:pPr>
              <w:pStyle w:val="Compact"/>
              <w:jc w:val="left"/>
            </w:pPr>
            <w:r>
              <w:t xml:space="preserve">0.14 - 1.12 = -0.98</w:t>
            </w:r>
          </w:p>
        </w:tc>
      </w:tr>
      <w:tr>
        <w:tc>
          <w:tcPr>
            <w:gridSpan w:val="3"/>
          </w:tcPr>
          <w:p>
            <w:pPr>
              <w:pStyle w:val="Compact"/>
              <w:jc w:val="left"/>
            </w:pPr>
            <w:r>
              <w:t xml:space="preserve">Total Product Carbon Footprint</w:t>
            </w:r>
          </w:p>
        </w:tc>
        <w:tc>
          <w:tcPr/>
          <w:p>
            <w:pPr>
              <w:pStyle w:val="Compact"/>
              <w:jc w:val="left"/>
            </w:pPr>
            <w:r>
              <w:t xml:space="preserve">20.65 kg CO2e</w:t>
            </w:r>
          </w:p>
        </w:tc>
      </w:tr>
    </w:tbl>
    <w:p>
      <w:pPr>
        <w:numPr>
          <w:ilvl w:val="0"/>
          <w:numId w:val="1000"/>
        </w:numPr>
        <w:pStyle w:val="Heading4"/>
      </w:pPr>
      <w:bookmarkStart w:id="30" w:name="Xa93906bb67ec9154f1ee89ba7d04a4755f4e5b7"/>
      <w:r>
        <w:t xml:space="preserve">GHG Protocol Compliance and 2026 LSR Update</w:t>
      </w:r>
      <w:bookmarkEnd w:id="30"/>
    </w:p>
    <w:p>
      <w:pPr>
        <w:numPr>
          <w:ilvl w:val="0"/>
          <w:numId w:val="1000"/>
        </w:numPr>
      </w:pPr>
      <w:r>
        <w:t xml:space="preserve">This analysis adheres to the GHG Protocol\'s classification of emissions into Scope 1 (direct), Scope 2 (purchased energy), and Scope 3 (value chain).</w:t>
      </w:r>
    </w:p>
    <w:p>
      <w:pPr>
        <w:numPr>
          <w:ilvl w:val="1"/>
          <w:numId w:val="1006"/>
        </w:numPr>
        <w:pStyle w:val="Compact"/>
      </w:pPr>
      <w:r>
        <w:rPr>
          <w:bCs/>
          <w:b/>
        </w:rPr>
        <w:t xml:space="preserve">Scope 1:</w:t>
      </w:r>
      <w:r>
        <w:t xml:space="preserve"> </w:t>
      </w:r>
      <w:r>
        <w:t xml:space="preserve">Direct emissions from operations of gkziymrgim. For jopyriqdwg, these are assumed to be negligible for the product\'s direct manufacturing if no on-site fuel combustion directly attributable to the product line is reported.</w:t>
      </w:r>
    </w:p>
    <w:p>
      <w:pPr>
        <w:numPr>
          <w:ilvl w:val="1"/>
          <w:numId w:val="1006"/>
        </w:numPr>
        <w:pStyle w:val="Compact"/>
      </w:pPr>
      <w:r>
        <w:rPr>
          <w:bCs/>
          <w:b/>
        </w:rPr>
        <w:t xml:space="preserve">Scope 2:</w:t>
      </w:r>
      <w:r>
        <w:t xml:space="preserve"> </w:t>
      </w:r>
      <w:r>
        <w:t xml:space="preserve">Emissions from purchased electricity for the manufacturing of jopyriqdwg.</w:t>
      </w:r>
    </w:p>
    <w:p>
      <w:pPr>
        <w:numPr>
          <w:ilvl w:val="1"/>
          <w:numId w:val="1006"/>
        </w:numPr>
        <w:pStyle w:val="Compact"/>
      </w:pPr>
      <w:r>
        <w:rPr>
          <w:bCs/>
          <w:b/>
        </w:rPr>
        <w:t xml:space="preserve">Scope 3:</w:t>
      </w:r>
      <w:r>
        <w:t xml:space="preserve"> </w:t>
      </w:r>
      <w:r>
        <w:t xml:space="preserve">Comprehensive coverage of value chain emissions, targeting at least 95% coverage as per the 2026 requirements. This includes Categories 1 (Purchased Goods and Services), 3 (Fuel- and Energy-Related Activities), 4 (Upstream Transportation and Distribution), 9 (Downstream Transportation and Distribution), 11 (Use of Sold Products), and 12 (End-of-Life Treatment of Sold Products). The detailed BOM and logistics data contribute significantly to achieving this target.</w:t>
      </w:r>
    </w:p>
    <w:p>
      <w:pPr>
        <w:numPr>
          <w:ilvl w:val="1"/>
          <w:numId w:val="1006"/>
        </w:numPr>
        <w:pStyle w:val="Compact"/>
      </w:pPr>
      <w:r>
        <w:rPr>
          <w:bCs/>
          <w:b/>
        </w:rPr>
        <w:t xml:space="preserve">2026 LSR Update:</w:t>
      </w:r>
      <w:r>
        <w:t xml:space="preserve"> </w:t>
      </w:r>
      <w:r>
        <w:t xml:space="preserve">The Land Sector and Removals (LSR) Standard, released in January 2026 and effective January 1, 2027, has been considered. While specific land-use data for jopyriqdwg\'s raw materials (e.g., direct land-use change for agricultural components) were not provided, its principles for transparent tracking and reporting of land-based emissions and carbon removals are acknowledged and would be integrated with primary data collection. This Standard supplements the existing Corporate and Scope 3 Standards.</w:t>
      </w:r>
    </w:p>
    <w:p>
      <w:pPr>
        <w:numPr>
          <w:ilvl w:val="1"/>
          <w:numId w:val="1006"/>
        </w:numPr>
        <w:pStyle w:val="Compact"/>
      </w:pPr>
      <w:r>
        <w:rPr>
          <w:bCs/>
          <w:b/>
        </w:rPr>
        <w:t xml:space="preserve">Use Phase Accounting:</w:t>
      </w:r>
      <w:r>
        <w:t xml:space="preserve"> </w:t>
      </w:r>
      <w:r>
        <w:t xml:space="preserve">The 2026 GHG Protocol Scope 3 revision is moving towards an annualized, stock-based accounting model for Category 11 (Use of Sold Products) to better reflect actual annual emissions and reward product durability, moving away from reporting total lifetime emissions in the year of sale. This report calculates the total lifetime emissions for the Use Phase, with the understanding that future reporting may disaggregate this annually.</w:t>
      </w:r>
    </w:p>
    <w:p>
      <w:pPr>
        <w:numPr>
          <w:ilvl w:val="0"/>
          <w:numId w:val="1001"/>
        </w:numPr>
        <w:pStyle w:val="Heading3"/>
      </w:pPr>
      <w:bookmarkStart w:id="31" w:name="review-report"/>
      <w:r>
        <w:t xml:space="preserve">Review &amp; Report</w:t>
      </w:r>
      <w:bookmarkEnd w:id="31"/>
    </w:p>
    <w:p>
      <w:pPr>
        <w:numPr>
          <w:ilvl w:val="0"/>
          <w:numId w:val="1000"/>
        </w:numPr>
      </w:pPr>
      <w:r>
        <w:t xml:space="preserve">The PCF analysis identifies emission hotspots and assesses data reliability.</w:t>
      </w:r>
    </w:p>
    <w:p>
      <w:pPr>
        <w:numPr>
          <w:ilvl w:val="0"/>
          <w:numId w:val="1000"/>
        </w:numPr>
        <w:pStyle w:val="Heading4"/>
      </w:pPr>
      <w:bookmarkStart w:id="32" w:name="emission-hotspots"/>
      <w:r>
        <w:t xml:space="preserve">Emission Hotspots:</w:t>
      </w:r>
      <w:bookmarkEnd w:id="32"/>
    </w:p>
    <w:p>
      <w:pPr>
        <w:numPr>
          <w:ilvl w:val="1"/>
          <w:numId w:val="1007"/>
        </w:numPr>
        <w:pStyle w:val="Compact"/>
      </w:pPr>
      <w:r>
        <w:rPr>
          <w:bCs/>
          <w:b/>
        </w:rPr>
        <w:t xml:space="preserve">Use Phase (15.00 kg CO2e):</w:t>
      </w:r>
      <w:r>
        <w:t xml:space="preserve"> </w:t>
      </w:r>
      <w:r>
        <w:t xml:space="preserve">This is the most significant hotspot, primarily driven by the energy consumption of the product over its 5-year lifespan. This highlights the importance of energy-efficient design and promoting renewable energy use by end-consumers.</w:t>
      </w:r>
    </w:p>
    <w:p>
      <w:pPr>
        <w:numPr>
          <w:ilvl w:val="1"/>
          <w:numId w:val="1007"/>
        </w:numPr>
        <w:pStyle w:val="Compact"/>
      </w:pPr>
      <w:r>
        <w:rPr>
          <w:bCs/>
          <w:b/>
        </w:rPr>
        <w:t xml:space="preserve">Raw Materials Acquisition &amp; Pre-processing (6.56 kg CO2e):</w:t>
      </w:r>
      <w:r>
        <w:t xml:space="preserve"> </w:t>
      </w:r>
      <w:r>
        <w:t xml:space="preserve">The impact of manufacturing electronics and plastics contributes substantially to the upstream footprint. This suggests opportunities for using recycled content, sustainable material sourcing, and engaging with suppliers to reduce their production emissions.</w:t>
      </w:r>
    </w:p>
    <w:p>
      <w:pPr>
        <w:numPr>
          <w:ilvl w:val="0"/>
          <w:numId w:val="1000"/>
        </w:numPr>
        <w:pStyle w:val="Heading4"/>
      </w:pPr>
      <w:bookmarkStart w:id="33" w:name="data-reliability"/>
      <w:r>
        <w:t xml:space="preserve">Data Reliability:</w:t>
      </w:r>
      <w:bookmarkEnd w:id="33"/>
    </w:p>
    <w:p>
      <w:pPr>
        <w:numPr>
          <w:ilvl w:val="0"/>
          <w:numId w:val="1000"/>
        </w:numPr>
      </w:pPr>
      <w:r>
        <w:t xml:space="preserve">The calculations rely on a mix of provided specific parameters and illustrative industry-average emission factors. The 2026 GHG Protocol revisions emphasize increasing reliance on primary, supplier-specific data for Scope 3 emissions to improve accuracy and auditability. As such, future iterations of this assessment would benefit from further engagement with the supply chain to gather more granular primary data for material production and inbound logistics. The use of robust circular/take-back programs (\'lltpzswrnm\') by gkziymrgim, as indicated, significantly contributes to reducing end-of-life impacts, providing a net carbon credit in this scenario.</w:t>
      </w:r>
    </w:p>
    <w:p>
      <w:r>
        <w:pict>
          <v:rect style="width:0;height:1.5pt" o:hralign="center" o:hrstd="t" o:hr="t"/>
        </w:pict>
      </w:r>
    </w:p>
    <w:bookmarkEnd w:id="34"/>
    <w:bookmarkStart w:id="35" w:name="recommendations"/>
    <w:p>
      <w:pPr>
        <w:pStyle w:val="Heading2"/>
      </w:pPr>
      <w:r>
        <w:t xml:space="preserve">Recommendations</w:t>
      </w:r>
    </w:p>
    <w:p>
      <w:pPr>
        <w:pStyle w:val="FirstParagraph"/>
      </w:pPr>
      <w:r>
        <w:t xml:space="preserve">Based on this PCF analysis, gkziymrgim should consider the following recommendations to further reduce the carbon footprint of jopyriqdwg:</w:t>
      </w:r>
    </w:p>
    <w:p>
      <w:pPr>
        <w:numPr>
          <w:ilvl w:val="0"/>
          <w:numId w:val="1008"/>
        </w:numPr>
        <w:pStyle w:val="Compact"/>
      </w:pPr>
      <w:r>
        <w:rPr>
          <w:bCs/>
          <w:b/>
        </w:rPr>
        <w:t xml:space="preserve">Enhance Product Energy Efficiency:</w:t>
      </w:r>
      <w:r>
        <w:t xml:space="preserve"> </w:t>
      </w:r>
      <w:r>
        <w:t xml:space="preserve">Focus design efforts on reducing the energy consumption of jopyriqdwg during its use phase.</w:t>
      </w:r>
    </w:p>
    <w:p>
      <w:pPr>
        <w:numPr>
          <w:ilvl w:val="0"/>
          <w:numId w:val="1008"/>
        </w:numPr>
        <w:pStyle w:val="Compact"/>
      </w:pPr>
      <w:r>
        <w:rPr>
          <w:bCs/>
          <w:b/>
        </w:rPr>
        <w:t xml:space="preserve">Increase Recycled Content:</w:t>
      </w:r>
      <w:r>
        <w:t xml:space="preserve"> </w:t>
      </w:r>
      <w:r>
        <w:t xml:space="preserve">Prioritize the use of recycled plastics, metals, and other materials in the BOM to reduce upstream material emissions.</w:t>
      </w:r>
    </w:p>
    <w:p>
      <w:pPr>
        <w:numPr>
          <w:ilvl w:val="0"/>
          <w:numId w:val="1008"/>
        </w:numPr>
        <w:pStyle w:val="Compact"/>
      </w:pPr>
      <w:r>
        <w:rPr>
          <w:bCs/>
          <w:b/>
        </w:rPr>
        <w:t xml:space="preserve">Supplier Engagement:</w:t>
      </w:r>
      <w:r>
        <w:t xml:space="preserve"> </w:t>
      </w:r>
      <w:r>
        <w:t xml:space="preserve">Collaborate with key material suppliers (especially for electronics and plastics) to track and reduce their specific production emissions. Encourage them to adopt renewable energy and efficient manufacturing processes.</w:t>
      </w:r>
    </w:p>
    <w:p>
      <w:pPr>
        <w:numPr>
          <w:ilvl w:val="0"/>
          <w:numId w:val="1008"/>
        </w:numPr>
        <w:pStyle w:val="Compact"/>
      </w:pPr>
      <w:r>
        <w:rPr>
          <w:bCs/>
          <w:b/>
        </w:rPr>
        <w:t xml:space="preserve">Optimize Logistics:</w:t>
      </w:r>
      <w:r>
        <w:t xml:space="preserve"> </w:t>
      </w:r>
      <w:r>
        <w:t xml:space="preserve">Explore further opportunities to optimize transportation, such as selecting lower-emission transport modes where feasible, increasing load factors, and optimizing routes.</w:t>
      </w:r>
    </w:p>
    <w:p>
      <w:pPr>
        <w:numPr>
          <w:ilvl w:val="0"/>
          <w:numId w:val="1008"/>
        </w:numPr>
        <w:pStyle w:val="Compact"/>
      </w:pPr>
      <w:r>
        <w:rPr>
          <w:bCs/>
          <w:b/>
        </w:rPr>
        <w:t xml:space="preserve">Strengthen Circular Economy Initiatives:</w:t>
      </w:r>
      <w:r>
        <w:t xml:space="preserve"> </w:t>
      </w:r>
      <w:r>
        <w:t xml:space="preserve">Continue to invest in and expand take-back and recycling programs (\'lltpzswrnm\') to maximize material recovery and minimize landfill waste, further enhancing circularity and potential carbon credits.</w:t>
      </w:r>
    </w:p>
    <w:p>
      <w:pPr>
        <w:numPr>
          <w:ilvl w:val="0"/>
          <w:numId w:val="1008"/>
        </w:numPr>
        <w:pStyle w:val="Compact"/>
      </w:pPr>
      <w:r>
        <w:rPr>
          <w:bCs/>
          <w:b/>
        </w:rPr>
        <w:t xml:space="preserve">Implement LSR Standard Requirements:</w:t>
      </w:r>
      <w:r>
        <w:t xml:space="preserve"> </w:t>
      </w:r>
      <w:r>
        <w:t xml:space="preserve">For any land-intensive components or processes, work towards collecting specific data to fully comply with the GHG Protocol\'s Land Sector and Removals (LSR) Standard in upcoming reporting cycles.</w:t>
      </w:r>
    </w:p>
    <w:p>
      <w:pPr>
        <w:numPr>
          <w:ilvl w:val="0"/>
          <w:numId w:val="1008"/>
        </w:numPr>
        <w:pStyle w:val="Compact"/>
      </w:pPr>
      <w:r>
        <w:rPr>
          <w:bCs/>
          <w:b/>
        </w:rPr>
        <w:t xml:space="preserve">Improve Primary Data Collection:</w:t>
      </w:r>
      <w:r>
        <w:t xml:space="preserve"> </w:t>
      </w:r>
      <w:r>
        <w:t xml:space="preserve">Systematically collect primary, activity-based data directly from suppliers across the value chain to enhance the accuracy and robustness of Scope 3 reporting, aligning with the 2026 GHG Protocol guidance for data disaggregation.</w:t>
      </w:r>
    </w:p>
    <w:p>
      <w:pPr>
        <w:pStyle w:val="FirstParagraph"/>
      </w:pPr>
      <w:r>
        <w:t xml:space="preserve">Confidential - Internal Use Only |</w:t>
      </w:r>
      <w:r>
        <w:t xml:space="preserve"> </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jopyriqdwg</dc:title>
  <dc:creator/>
  <dc:description>High-detail Product Carbon Footprint (PCF) analysis report for jopyriqdwg, conducted by Senior Sustainability Consultant ehfeilmozi, adhering to GHG Protocol standards and 2026 updates.</dc:description>
  <dc:language>en</dc:language>
  <cp:keywords/>
  <dcterms:created xsi:type="dcterms:W3CDTF">2026-06-13T01:52:49Z</dcterms:created>
  <dcterms:modified xsi:type="dcterms:W3CDTF">2026-06-13T01:52:49Z</dcterms:modified>
</cp:coreProperties>
</file>

<file path=docProps/custom.xml><?xml version="1.0" encoding="utf-8"?>
<Properties xmlns="http://schemas.openxmlformats.org/officeDocument/2006/custom-properties" xmlns:vt="http://schemas.openxmlformats.org/officeDocument/2006/docPropsVTypes"/>
</file>