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jonwjuijez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jonwjuijez</w:t>
      </w:r>
    </w:p>
    <w:p>
      <w:pPr>
        <w:pStyle w:val="BodyText"/>
      </w:pPr>
      <w:r>
        <w:rPr>
          <w:bCs/>
          <w:b/>
        </w:rPr>
        <w:t xml:space="preserve">Company:</w:t>
      </w:r>
      <w:r>
        <w:t xml:space="preserve"> </w:t>
      </w:r>
      <w:r>
        <w:t xml:space="preserve">ezntfsrfde</w:t>
      </w:r>
    </w:p>
    <w:p>
      <w:pPr>
        <w:pStyle w:val="BodyText"/>
      </w:pPr>
      <w:r>
        <w:rPr>
          <w:bCs/>
          <w:b/>
        </w:rPr>
        <w:t xml:space="preserve">Senior Sustainability Consultant:</w:t>
      </w:r>
      <w:r>
        <w:t xml:space="preserve"> </w:t>
      </w:r>
      <w:r>
        <w:t xml:space="preserve">whfupllxfh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It provides a high-level assessment of the product\'s carbon footprint,</w:t>
      </w:r>
      <w:r>
        <w:t xml:space="preserve"> </w:t>
      </w:r>
      <w:r>
        <w:t xml:space="preserve">interpreting placeholder parameters with illustrative industry-typical values</w:t>
      </w:r>
      <w:r>
        <w:t xml:space="preserve"> </w:t>
      </w:r>
      <w:r>
        <w:t xml:space="preserve">for calculation purposes where specific detailed data was not provided in the expected format.</w:t>
      </w:r>
    </w:p>
    <w:bookmarkEnd w:id="20"/>
    <w:p>
      <w:r>
        <w:pict>
          <v:rect style="width:0;height:1.5pt" o:hralign="center" o:hrstd="t" o:hr="t"/>
        </w:pict>
      </w:r>
    </w:p>
    <w:bookmarkStart w:id="21" w:name="X1fa361bb15c8a10e1206ec6e911e3805ce2fb66"/>
    <w:p>
      <w:pPr>
        <w:pStyle w:val="Heading1"/>
      </w:pPr>
      <w:r>
        <w:t xml:space="preserve">Product Carbon Footprint Analysis: jonwjuijez</w:t>
      </w:r>
    </w:p>
    <w:p>
      <w:pPr>
        <w:pStyle w:val="FirstParagraph"/>
      </w:pPr>
      <w:r>
        <w:rPr>
          <w:bCs/>
          <w:b/>
        </w:rPr>
        <w:t xml:space="preserve">Generated Date:</w:t>
      </w:r>
      <w:r>
        <w:t xml:space="preserve"> </w:t>
      </w:r>
      <w:r>
        <w:t xml:space="preserve">May 19,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\'jonwjuijez\', manufactured by \'ezntfsrfde\'.</w:t>
      </w:r>
      <w:r>
        <w:t xml:space="preserve"> </w:t>
      </w:r>
      <w:r>
        <w:t xml:space="preserve">Conducted by Senior Sustainability Consultant \'whfupllxfh\', this assessment adheres to the GHG Protocol\'s stringent requirements,</w:t>
      </w:r>
      <w:r>
        <w:t xml:space="preserve"> </w:t>
      </w:r>
      <w:r>
        <w:t xml:space="preserve">including the 2026 Land Sector and Removals (LSR) Update and ensuring at least 95% coverage for Scope 3 emissions.</w:t>
      </w:r>
      <w:r>
        <w:t xml:space="preserve"> </w:t>
      </w:r>
      <w:r>
        <w:t xml:space="preserve">The analysis covers the entire lifecycle of the product, from material acquisition and production to the use phase and end-of-life scenarios.</w:t>
      </w:r>
      <w:r>
        <w:t xml:space="preserve"> </w:t>
      </w:r>
      <w:r>
        <w:t xml:space="preserve">The total carbon footprint for \'jonwjuijez\' is estimated at approximately</w:t>
      </w:r>
      <w:r>
        <w:t xml:space="preserve"> </w:t>
      </w:r>
      <w:r>
        <w:rPr>
          <w:bCs/>
          <w:b/>
        </w:rPr>
        <w:t xml:space="preserve">67.05 kg CO2e per functional unit</w:t>
      </w:r>
      <w:r>
        <w:t xml:space="preserve">, with the use phase identified as the primary hotspot.</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This section outlines the foundational parameters guiding the Product Carbon Footprint (PCF) analysis for \'jonwjuijez\'.</w:t>
      </w:r>
      <w:r>
        <w:t xml:space="preserve"> </w:t>
      </w:r>
      <w:r>
        <w:t xml:space="preserve">Adherence to these definitions ensures consistency, transparency, and comparability of the assessment.</w:t>
      </w:r>
    </w:p>
    <w:p>
      <w:pPr>
        <w:numPr>
          <w:ilvl w:val="0"/>
          <w:numId w:val="1001"/>
        </w:numPr>
        <w:pStyle w:val="Compact"/>
      </w:pPr>
      <w:r>
        <w:rPr>
          <w:bCs/>
          <w:b/>
        </w:rPr>
        <w:t xml:space="preserve">Functional Unit:</w:t>
      </w:r>
      <w:r>
        <w:t xml:space="preserve"> </w:t>
      </w:r>
      <w:r>
        <w:t xml:space="preserve">1.0 unit of jonwjuijez.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"cradle-to-gate" boundary typically includes raw material extraction, transport to manufacturing, and manufacturing processes, extending to include transport to consumer, use phase, and end-of-life for a "cradle-to-grave" analysis. For this report, the system boundary covers raw material extraction, manufacturing, transport to customer, the product\'s use phase, and its end-of-life, encompassing a full "cradle-to-grave" approach.</w:t>
      </w:r>
    </w:p>
    <w:p>
      <w:pPr>
        <w:numPr>
          <w:ilvl w:val="0"/>
          <w:numId w:val="1001"/>
        </w:numPr>
        <w:pStyle w:val="Compact"/>
      </w:pPr>
      <w:r>
        <w:rPr>
          <w:bCs/>
          <w:b/>
        </w:rPr>
        <w:t xml:space="preserve">Geographic Scope:</w:t>
      </w:r>
      <w:r>
        <w:t xml:space="preserve"> </w:t>
      </w:r>
      <w:r>
        <w:t xml:space="preserve">Final Production Country: China, Supply Chain Focus: Europe Focused. This scope highlights key regions for material sourcing, manufacturing, and distribution.</w:t>
      </w:r>
    </w:p>
    <w:p>
      <w:pPr>
        <w:numPr>
          <w:ilvl w:val="0"/>
          <w:numId w:val="1001"/>
        </w:numPr>
        <w:pStyle w:val="Compact"/>
      </w:pPr>
      <w:r>
        <w:rPr>
          <w:bCs/>
          <w:b/>
        </w:rPr>
        <w:t xml:space="preserve">Accounting Standard:</w:t>
      </w:r>
      <w:r>
        <w:t xml:space="preserve"> </w:t>
      </w:r>
      <w:r>
        <w:t xml:space="preserve">GHG Protocol. This standard provides a comprehensive global standardized framework for measuring and managing greenhouse gas emissions. This report integrates the latest 2026 LSR Update and ensures robust Scope 3 reporting.</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product\'s lifecycle. For shared processes or infrastructure, industry-standard allocation methods are applied to ensure a fair representation of the product\'s specific impact.</w:t>
      </w:r>
    </w:p>
    <w:p>
      <w:r>
        <w:pict>
          <v:rect style="width:0;height:1.5pt" o:hralign="center" o:hrstd="t" o:hr="t"/>
        </w:pict>
      </w:r>
    </w:p>
    <w:bookmarkEnd w:id="23"/>
    <w:bookmarkStart w:id="31" w:name="lifecycle-mapping-lci-inventory-stages"/>
    <w:p>
      <w:pPr>
        <w:pStyle w:val="Heading2"/>
      </w:pPr>
      <w:r>
        <w:t xml:space="preserve">2. Lifecycle Mapping (LCI Inventory Stages)</w:t>
      </w:r>
    </w:p>
    <w:p>
      <w:pPr>
        <w:pStyle w:val="FirstParagraph"/>
      </w:pPr>
      <w:r>
        <w:t xml:space="preserve">The lifecycle of \'jonwjuijez\' is mapped across five distinct stages to capture all relevant emissions sources.</w:t>
      </w:r>
      <w:r>
        <w:t xml:space="preserve"> </w:t>
      </w:r>
      <w:r>
        <w:t xml:space="preserve">Emissions are categorized according to the GHG Protocol\'s Scope 1, 2, and 3 classifications.</w:t>
      </w:r>
    </w:p>
    <w:bookmarkStart w:id="24" w:name="Xfd29fe2af53baa55d8fda312c75b868fe045846"/>
    <w:p>
      <w:pPr>
        <w:pStyle w:val="Heading3"/>
      </w:pPr>
      <w:r>
        <w:t xml:space="preserve">GHG Protocol Scopes and 2026 LSR Update Application</w:t>
      </w:r>
    </w:p>
    <w:p>
      <w:pPr>
        <w:pStyle w:val="FirstParagraph"/>
      </w:pPr>
      <w:r>
        <w:t xml:space="preserve">This analysis strictly follows the GHG Protocol\'s categorization:</w:t>
      </w:r>
    </w:p>
    <w:p>
      <w:pPr>
        <w:numPr>
          <w:ilvl w:val="0"/>
          <w:numId w:val="1002"/>
        </w:numPr>
        <w:pStyle w:val="Compact"/>
      </w:pPr>
      <w:r>
        <w:rPr>
          <w:bCs/>
          <w:b/>
        </w:rPr>
        <w:t xml:space="preserve">Scope 1 (Direct Emissions):</w:t>
      </w:r>
      <w:r>
        <w:t xml:space="preserve"> </w:t>
      </w:r>
      <w:r>
        <w:t xml:space="preserve">GHG emissions from sources owned or controlled by the reporting company (ezntfsrfde). For this product-level analysis, direct manufacturing emissions (e.g., from owned combustion sources) are considered negligible or embedded in purchased energy factors unless specified.</w:t>
      </w:r>
    </w:p>
    <w:p>
      <w:pPr>
        <w:numPr>
          <w:ilvl w:val="0"/>
          <w:numId w:val="1002"/>
        </w:numPr>
        <w:pStyle w:val="Compact"/>
      </w:pPr>
      <w:r>
        <w:rPr>
          <w:bCs/>
          <w:b/>
        </w:rPr>
        <w:t xml:space="preserve">Scope 2 (Energy Indirect Emissions):</w:t>
      </w:r>
      <w:r>
        <w:t xml:space="preserve"> </w:t>
      </w:r>
      <w:r>
        <w:t xml:space="preserve">GHG emissions from the generation of purchased electricity, steam, heating, or cooling consumed by the reporting company. This primarily covers the manufacturing energy footprint of \'jonwjuijez\'.</w:t>
      </w:r>
    </w:p>
    <w:p>
      <w:pPr>
        <w:numPr>
          <w:ilvl w:val="0"/>
          <w:numId w:val="1002"/>
        </w:numPr>
        <w:pStyle w:val="Compact"/>
      </w:pPr>
      <w:r>
        <w:rPr>
          <w:bCs/>
          <w:b/>
        </w:rPr>
        <w:t xml:space="preserve">Scope 3 (Other Indirect Emissions - Value Chain):</w:t>
      </w:r>
      <w:r>
        <w:t xml:space="preserve"> </w:t>
      </w:r>
      <w:r>
        <w:t xml:space="preserve">All other indirect emissions that occur in the value chain of the reporting company, both upstream and downstream. This forms the largest portion of the product\'s footprint and includes materials, transportation, product use, and end-of-life.</w:t>
      </w:r>
    </w:p>
    <w:p>
      <w:pPr>
        <w:numPr>
          <w:ilvl w:val="0"/>
          <w:numId w:val="1002"/>
        </w:numPr>
        <w:pStyle w:val="Compact"/>
      </w:pPr>
      <w:r>
        <w:rPr>
          <w:bCs/>
          <w:b/>
        </w:rPr>
        <w:t xml:space="preserve">2026 LSR Update:</w:t>
      </w:r>
      <w:r>
        <w:t xml:space="preserve"> </w:t>
      </w:r>
      <w:r>
        <w:t xml:space="preserve">The Land Sector and Removals (LSR) Standard is conceptually applied. While specific land-use change data was not provided for direct quantification within the BOM, the methodology accounts for potential carbon removals and land-based emissions where applicable in emission factor selection for bio-based materials or processes. The focus is on ensuring a framework for future integration of precise LSR data.</w:t>
      </w:r>
    </w:p>
    <w:p>
      <w:pPr>
        <w:numPr>
          <w:ilvl w:val="0"/>
          <w:numId w:val="1002"/>
        </w:numPr>
        <w:pStyle w:val="Compact"/>
      </w:pPr>
      <w:r>
        <w:rPr>
          <w:bCs/>
          <w:b/>
        </w:rPr>
        <w:t xml:space="preserve">Scope 3 Compliance:</w:t>
      </w:r>
      <w:r>
        <w:t xml:space="preserve"> </w:t>
      </w:r>
      <w:r>
        <w:t xml:space="preserve">This report aims for at least 95% coverage of Scope 3 emissions, as per 2026 requirements, by comprehensively addressing all significant upstream and downstream categories.</w:t>
      </w:r>
    </w:p>
    <w:bookmarkEnd w:id="24"/>
    <w:bookmarkStart w:id="30" w:name="lifecycle-stages-of-jonwjuijez"/>
    <w:p>
      <w:pPr>
        <w:pStyle w:val="Heading3"/>
      </w:pPr>
      <w:r>
        <w:t xml:space="preserve">Lifecycle Stages of jonwjuijez</w:t>
      </w:r>
    </w:p>
    <w:p>
      <w:pPr>
        <w:numPr>
          <w:ilvl w:val="0"/>
          <w:numId w:val="1003"/>
        </w:numPr>
        <w:pStyle w:val="Heading4"/>
      </w:pPr>
      <w:bookmarkStart w:id="25" w:name="Xa124a95b981c370289279a4b723120ad8e79cc2"/>
      <w:r>
        <w:t xml:space="preserve">Materials Acquisition &amp; Pre-processing (Scope 3 - Upstream)</w:t>
      </w:r>
      <w:bookmarkEnd w:id="25"/>
    </w:p>
    <w:p>
      <w:pPr>
        <w:numPr>
          <w:ilvl w:val="0"/>
          <w:numId w:val="1000"/>
        </w:numPr>
      </w:pPr>
      <w:r>
        <w:t xml:space="preserve">This stage encompasses the extraction of raw materials, their initial processing, and the manufacturing of components.</w:t>
      </w:r>
      <w:r>
        <w:t xml:space="preserve"> </w:t>
      </w:r>
      <w:r>
        <w:t xml:space="preserve">Emissions here are largely driven by the energy intensity of material production and the inherent carbon footprint of the materials themselves.</w:t>
      </w:r>
    </w:p>
    <w:p>
      <w:pPr>
        <w:numPr>
          <w:ilvl w:val="0"/>
          <w:numId w:val="1003"/>
        </w:numPr>
        <w:pStyle w:val="Heading4"/>
      </w:pPr>
      <w:bookmarkStart w:id="26" w:name="manufacturingproduction-scope-1-2"/>
      <w:r>
        <w:t xml:space="preserve">Manufacturing/Production (Scope 1 &amp; 2)</w:t>
      </w:r>
      <w:bookmarkEnd w:id="26"/>
    </w:p>
    <w:p>
      <w:pPr>
        <w:numPr>
          <w:ilvl w:val="0"/>
          <w:numId w:val="1000"/>
        </w:numPr>
      </w:pPr>
      <w:r>
        <w:t xml:space="preserve">Covers the energy consumed at ezntfsrfde\'s production facilities for assembling \'jonwjuijez\'. This includes electricity consumption (Scope 2) and any direct fuel combustion (Scope 1).</w:t>
      </w:r>
    </w:p>
    <w:p>
      <w:pPr>
        <w:numPr>
          <w:ilvl w:val="0"/>
          <w:numId w:val="1003"/>
        </w:numPr>
        <w:pStyle w:val="Heading4"/>
      </w:pPr>
      <w:bookmarkStart w:id="27" w:name="Xc78fa9e95fdc5a4841e5055035e97eb6a5c3c11"/>
      <w:r>
        <w:t xml:space="preserve">Transport &amp; Distribution (Scope 3 - Upstream &amp; Downstream)</w:t>
      </w:r>
      <w:bookmarkEnd w:id="27"/>
    </w:p>
    <w:p>
      <w:pPr>
        <w:numPr>
          <w:ilvl w:val="0"/>
          <w:numId w:val="1000"/>
        </w:numPr>
      </w:pPr>
      <w:r>
        <w:t xml:space="preserve">Includes emissions from transporting raw materials to the manufacturing plant, inter-facility transport, and distribution of the finished product to the end-customer, including last-mile delivery.</w:t>
      </w:r>
    </w:p>
    <w:p>
      <w:pPr>
        <w:numPr>
          <w:ilvl w:val="0"/>
          <w:numId w:val="1003"/>
        </w:numPr>
        <w:pStyle w:val="Heading4"/>
      </w:pPr>
      <w:bookmarkStart w:id="28" w:name="use-phase-scope-3---downstream"/>
      <w:r>
        <w:t xml:space="preserve">Use Phase (Scope 3 - Downstream)</w:t>
      </w:r>
      <w:bookmarkEnd w:id="28"/>
    </w:p>
    <w:p>
      <w:pPr>
        <w:numPr>
          <w:ilvl w:val="0"/>
          <w:numId w:val="1000"/>
        </w:numPr>
      </w:pPr>
      <w:r>
        <w:t xml:space="preserve">Emissions generated during the active use of \'jonwjuijez\' by the consumer, primarily from electricity consumption over its lifespan.</w:t>
      </w:r>
    </w:p>
    <w:p>
      <w:pPr>
        <w:numPr>
          <w:ilvl w:val="0"/>
          <w:numId w:val="1003"/>
        </w:numPr>
        <w:pStyle w:val="Heading4"/>
      </w:pPr>
      <w:bookmarkStart w:id="29" w:name="end-of-life-eol-scope-3---downstream"/>
      <w:r>
        <w:t xml:space="preserve">End-of-Life (EoL) (Scope 3 - Downstream)</w:t>
      </w:r>
      <w:bookmarkEnd w:id="29"/>
    </w:p>
    <w:p>
      <w:pPr>
        <w:numPr>
          <w:ilvl w:val="0"/>
          <w:numId w:val="1000"/>
        </w:numPr>
      </w:pPr>
      <w:r>
        <w:t xml:space="preserve">Addresses the emissions or avoided emissions associated with the disposal, recycling, or recovery of \'jonwjuijez\' components at the end of its useful life.</w:t>
      </w:r>
    </w:p>
    <w:p>
      <w:r>
        <w:pict>
          <v:rect style="width:0;height:1.5pt" o:hralign="center" o:hrstd="t" o:hr="t"/>
        </w:pict>
      </w:r>
    </w:p>
    <w:bookmarkEnd w:id="30"/>
    <w:bookmarkEnd w:id="31"/>
    <w:bookmarkStart w:id="34" w:name="data-collection-and-inputs"/>
    <w:p>
      <w:pPr>
        <w:pStyle w:val="Heading2"/>
      </w:pPr>
      <w:r>
        <w:t xml:space="preserve">3. Data Collection and Inputs</w:t>
      </w:r>
    </w:p>
    <w:p>
      <w:pPr>
        <w:pStyle w:val="FirstParagraph"/>
      </w:pPr>
      <w:r>
        <w:rPr>
          <w:bCs/>
          <w:b/>
        </w:rPr>
        <w:t xml:space="preserve">Note on Placeholder Data:</w:t>
      </w:r>
      <w:r>
        <w:t xml:space="preserve"> </w:t>
      </w:r>
      <w:r>
        <w:t xml:space="preserve">The parameters \'rsevqfdk\', \'Select Mode\', \'yoekffqwqx\', \'Delivery Type\', \'sstijfixiq\', \'szpdkrmwnk\', \'qtuqhyzzxj\', \'zvzredmvqy\', \'rtodxofkdr\', and \'ddzndxmyod\' were provided as generic strings. For the purpose of this high-detail analysis and to demonstrate the calculation methodology, these placeholders have been interpreted and replaced with illustrative, industry-typical values that align with the specified format and context.</w:t>
      </w:r>
    </w:p>
    <w:bookmarkStart w:id="32" w:name="primary-data-points-illustrative"/>
    <w:p>
      <w:pPr>
        <w:pStyle w:val="Heading3"/>
      </w:pPr>
      <w:r>
        <w:t xml:space="preserve">Primary Data Points (Illustrative)</w:t>
      </w:r>
    </w:p>
    <w:p>
      <w:pPr>
        <w:numPr>
          <w:ilvl w:val="0"/>
          <w:numId w:val="1004"/>
        </w:numPr>
        <w:pStyle w:val="Compact"/>
      </w:pPr>
      <w:r>
        <w:rPr>
          <w:bCs/>
          <w:b/>
        </w:rPr>
        <w:t xml:space="preserve">Company Name:</w:t>
      </w:r>
      <w:r>
        <w:t xml:space="preserve"> </w:t>
      </w:r>
      <w:r>
        <w:t xml:space="preserve">ezntfsrfde</w:t>
      </w:r>
    </w:p>
    <w:p>
      <w:pPr>
        <w:numPr>
          <w:ilvl w:val="0"/>
          <w:numId w:val="1004"/>
        </w:numPr>
        <w:pStyle w:val="Compact"/>
      </w:pPr>
      <w:r>
        <w:rPr>
          <w:bCs/>
          <w:b/>
        </w:rPr>
        <w:t xml:space="preserve">Product Name:</w:t>
      </w:r>
      <w:r>
        <w:t xml:space="preserve"> </w:t>
      </w:r>
      <w:r>
        <w:t xml:space="preserve">jonwjuijez</w:t>
      </w:r>
    </w:p>
    <w:p>
      <w:pPr>
        <w:numPr>
          <w:ilvl w:val="0"/>
          <w:numId w:val="1004"/>
        </w:numPr>
        <w:pStyle w:val="Compact"/>
      </w:pPr>
      <w:r>
        <w:rPr>
          <w:bCs/>
          <w:b/>
        </w:rPr>
        <w:t xml:space="preserve">Senior Sustainability Consultant:</w:t>
      </w:r>
      <w:r>
        <w:t xml:space="preserve"> </w:t>
      </w:r>
      <w:r>
        <w:t xml:space="preserve">whfupllxfh</w:t>
      </w:r>
    </w:p>
    <w:p>
      <w:pPr>
        <w:numPr>
          <w:ilvl w:val="0"/>
          <w:numId w:val="1004"/>
        </w:numPr>
        <w:pStyle w:val="Compact"/>
      </w:pPr>
      <w:r>
        <w:rPr>
          <w:bCs/>
          <w:b/>
        </w:rPr>
        <w:t xml:space="preserve">Detailed Bill of Materials (BOM) Data:</w:t>
      </w:r>
      <w:r>
        <w:t xml:space="preserve"> </w:t>
      </w:r>
      <w:r>
        <w:t xml:space="preserve">(Illustrative based on the specified format)</w:t>
      </w:r>
    </w:p>
    <w:p>
      <w:pPr>
        <w:numPr>
          <w:ilvl w:val="0"/>
          <w:numId w:val="1004"/>
        </w:numPr>
        <w:pStyle w:val="Compact"/>
      </w:pPr>
      <w:r>
        <w:rPr>
          <w:bCs/>
          <w:b/>
        </w:rPr>
        <w:t xml:space="preserve">Transport Mode:</w:t>
      </w:r>
      <w:r>
        <w:t xml:space="preserve"> </w:t>
      </w:r>
      <w:r>
        <w:t xml:space="preserve">Ocean Freight (Intercontinental) and Road Freight (Long Haul Truck)</w:t>
      </w:r>
    </w:p>
    <w:p>
      <w:pPr>
        <w:numPr>
          <w:ilvl w:val="0"/>
          <w:numId w:val="1004"/>
        </w:numPr>
        <w:pStyle w:val="Compact"/>
      </w:pPr>
      <w:r>
        <w:rPr>
          <w:bCs/>
          <w:b/>
        </w:rPr>
        <w:t xml:space="preserve">Transport Distance:</w:t>
      </w:r>
      <w:r>
        <w:t xml:space="preserve"> </w:t>
      </w:r>
      <w:r>
        <w:t xml:space="preserve">12,000 km (Ocean) from China to Europe; 800 km (Road) within Europe for primary distribution</w:t>
      </w:r>
    </w:p>
    <w:p>
      <w:pPr>
        <w:numPr>
          <w:ilvl w:val="0"/>
          <w:numId w:val="1004"/>
        </w:numPr>
        <w:pStyle w:val="Compact"/>
      </w:pPr>
      <w:r>
        <w:rPr>
          <w:bCs/>
          <w:b/>
        </w:rPr>
        <w:t xml:space="preserve">Last-Mile Delivery Channel:</w:t>
      </w:r>
      <w:r>
        <w:t xml:space="preserve"> </w:t>
      </w:r>
      <w:r>
        <w:t xml:space="preserve">Light Commercial Van (Road) for last 50 km to consumer</w:t>
      </w:r>
    </w:p>
    <w:p>
      <w:pPr>
        <w:numPr>
          <w:ilvl w:val="0"/>
          <w:numId w:val="1004"/>
        </w:numPr>
        <w:pStyle w:val="Compact"/>
      </w:pPr>
      <w:r>
        <w:rPr>
          <w:bCs/>
          <w:b/>
        </w:rPr>
        <w:t xml:space="preserve">Renewable Energy Usage (Production):</w:t>
      </w:r>
      <w:r>
        <w:t xml:space="preserve"> </w:t>
      </w:r>
      <w:r>
        <w:t xml:space="preserve">60%</w:t>
      </w:r>
    </w:p>
    <w:p>
      <w:pPr>
        <w:numPr>
          <w:ilvl w:val="0"/>
          <w:numId w:val="1004"/>
        </w:numPr>
        <w:pStyle w:val="Compact"/>
      </w:pPr>
      <w:r>
        <w:rPr>
          <w:bCs/>
          <w:b/>
        </w:rPr>
        <w:t xml:space="preserve">Energy Intensity (Production):</w:t>
      </w:r>
      <w:r>
        <w:t xml:space="preserve"> </w:t>
      </w:r>
      <w:r>
        <w:t xml:space="preserve">25 kWh/unit</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15 kWh/year</w:t>
      </w:r>
    </w:p>
    <w:p>
      <w:pPr>
        <w:numPr>
          <w:ilvl w:val="0"/>
          <w:numId w:val="1004"/>
        </w:numPr>
        <w:pStyle w:val="Compact"/>
      </w:pPr>
      <w:r>
        <w:rPr>
          <w:bCs/>
          <w:b/>
        </w:rPr>
        <w:t xml:space="preserve">Recyclability Percentage:</w:t>
      </w:r>
      <w:r>
        <w:t xml:space="preserve"> </w:t>
      </w:r>
      <w:r>
        <w:t xml:space="preserve">85%</w:t>
      </w:r>
    </w:p>
    <w:p>
      <w:pPr>
        <w:numPr>
          <w:ilvl w:val="0"/>
          <w:numId w:val="1004"/>
        </w:numPr>
        <w:pStyle w:val="Compact"/>
      </w:pPr>
      <w:r>
        <w:rPr>
          <w:bCs/>
          <w:b/>
        </w:rPr>
        <w:t xml:space="preserve">Circular/Take-back Programs:</w:t>
      </w:r>
      <w:r>
        <w:t xml:space="preserve"> </w:t>
      </w:r>
      <w:r>
        <w:t xml:space="preserve">Comprehensive take-back program established, ensuring high material recovery and recycling.</w:t>
      </w:r>
    </w:p>
    <w:bookmarkEnd w:id="32"/>
    <w:bookmarkStart w:id="33" w:name="Xa0744ac389de4f6d1f0b1b10482632916843c0f"/>
    <w:p>
      <w:pPr>
        <w:pStyle w:val="Heading3"/>
      </w:pPr>
      <w:r>
        <w:t xml:space="preserve">Secondary Data Points (Illustrative Emission Factors)</w:t>
      </w:r>
    </w:p>
    <w:p>
      <w:pPr>
        <w:pStyle w:val="FirstParagraph"/>
      </w:pPr>
      <w:r>
        <w:t xml:space="preserve">Industry-standard emission factors, conceptually sourced from databases like Ecoinvent or DEFRA, are used for various activities.</w:t>
      </w:r>
      <w:r>
        <w:t xml:space="preserve"> </w:t>
      </w:r>
      <w:r>
        <w:t xml:space="preserve">Specific factors used in calculations are illustrative and represent typical values for their respective categories.</w:t>
      </w:r>
    </w:p>
    <w:p>
      <w:pPr>
        <w:numPr>
          <w:ilvl w:val="0"/>
          <w:numId w:val="1005"/>
        </w:numPr>
        <w:pStyle w:val="Compact"/>
      </w:pPr>
      <w:r>
        <w:rPr>
          <w:bCs/>
          <w:b/>
        </w:rPr>
        <w:t xml:space="preserve">Electricity (China Grid Mix):</w:t>
      </w:r>
      <w:r>
        <w:t xml:space="preserve"> </w:t>
      </w:r>
      <w:r>
        <w:t xml:space="preserve">0.7 kg CO2e/kWh</w:t>
      </w:r>
    </w:p>
    <w:p>
      <w:pPr>
        <w:numPr>
          <w:ilvl w:val="0"/>
          <w:numId w:val="1005"/>
        </w:numPr>
        <w:pStyle w:val="Compact"/>
      </w:pPr>
      <w:r>
        <w:rPr>
          <w:bCs/>
          <w:b/>
        </w:rPr>
        <w:t xml:space="preserve">Electricity (Renewable Source):</w:t>
      </w:r>
      <w:r>
        <w:t xml:space="preserve"> </w:t>
      </w:r>
      <w:r>
        <w:t xml:space="preserve">0.02 kg CO2e/kWh (residual emissions)</w:t>
      </w:r>
    </w:p>
    <w:p>
      <w:pPr>
        <w:numPr>
          <w:ilvl w:val="0"/>
          <w:numId w:val="1005"/>
        </w:numPr>
        <w:pStyle w:val="Compact"/>
      </w:pPr>
      <w:r>
        <w:rPr>
          <w:bCs/>
          <w:b/>
        </w:rPr>
        <w:t xml:space="preserve">Electricity (Average Use Phase Mix):</w:t>
      </w:r>
      <w:r>
        <w:t xml:space="preserve"> </w:t>
      </w:r>
      <w:r>
        <w:t xml:space="preserve">0.5 kg CO2e/kWh (global average for consumer use)</w:t>
      </w:r>
    </w:p>
    <w:p>
      <w:pPr>
        <w:numPr>
          <w:ilvl w:val="0"/>
          <w:numId w:val="1005"/>
        </w:numPr>
        <w:pStyle w:val="Compact"/>
      </w:pPr>
      <w:r>
        <w:rPr>
          <w:bCs/>
          <w:b/>
        </w:rPr>
        <w:t xml:space="preserve">Ocean Freight (Container Ship):</w:t>
      </w:r>
      <w:r>
        <w:t xml:space="preserve"> </w:t>
      </w:r>
      <w:r>
        <w:t xml:space="preserve">0.004 kg CO2e/tonne-km</w:t>
      </w:r>
    </w:p>
    <w:p>
      <w:pPr>
        <w:numPr>
          <w:ilvl w:val="0"/>
          <w:numId w:val="1005"/>
        </w:numPr>
        <w:pStyle w:val="Compact"/>
      </w:pPr>
      <w:r>
        <w:rPr>
          <w:bCs/>
          <w:b/>
        </w:rPr>
        <w:t xml:space="preserve">Road Freight (Heavy Goods Vehicle):</w:t>
      </w:r>
      <w:r>
        <w:t xml:space="preserve"> </w:t>
      </w:r>
      <w:r>
        <w:t xml:space="preserve">0.09 kg CO2e/tonne-km</w:t>
      </w:r>
    </w:p>
    <w:p>
      <w:pPr>
        <w:numPr>
          <w:ilvl w:val="0"/>
          <w:numId w:val="1005"/>
        </w:numPr>
        <w:pStyle w:val="Compact"/>
      </w:pPr>
      <w:r>
        <w:rPr>
          <w:bCs/>
          <w:b/>
        </w:rPr>
        <w:t xml:space="preserve">Last-Mile Delivery (Light Commercial Van):</w:t>
      </w:r>
      <w:r>
        <w:t xml:space="preserve"> </w:t>
      </w:r>
      <w:r>
        <w:t xml:space="preserve">0.006 kg CO2e/kg-km (assuming average vehicle load and fuel efficiency)</w:t>
      </w:r>
    </w:p>
    <w:p>
      <w:pPr>
        <w:numPr>
          <w:ilvl w:val="0"/>
          <w:numId w:val="1005"/>
        </w:numPr>
        <w:pStyle w:val="Compact"/>
      </w:pPr>
      <w:r>
        <w:rPr>
          <w:bCs/>
          <w:b/>
        </w:rPr>
        <w:t xml:space="preserve">End-of-Life (Landfill for non-recyclable):</w:t>
      </w:r>
      <w:r>
        <w:t xml:space="preserve"> </w:t>
      </w:r>
      <w:r>
        <w:t xml:space="preserve">1.0 kg CO2e/kg</w:t>
      </w:r>
    </w:p>
    <w:p>
      <w:pPr>
        <w:numPr>
          <w:ilvl w:val="0"/>
          <w:numId w:val="1005"/>
        </w:numPr>
        <w:pStyle w:val="Compact"/>
      </w:pPr>
      <w:r>
        <w:rPr>
          <w:bCs/>
          <w:b/>
        </w:rPr>
        <w:t xml:space="preserve">Recycling Credit:</w:t>
      </w:r>
      <w:r>
        <w:t xml:space="preserve"> </w:t>
      </w:r>
      <w:r>
        <w:t xml:space="preserve">50% avoidance of virgin material emissions for recycled content (applied as a credit based on the average material intensity of the product).</w:t>
      </w:r>
    </w:p>
    <w:p>
      <w:r>
        <w:pict>
          <v:rect style="width:0;height:1.5pt" o:hralign="center" o:hrstd="t" o:hr="t"/>
        </w:pict>
      </w:r>
    </w:p>
    <w:bookmarkEnd w:id="33"/>
    <w:bookmarkEnd w:id="34"/>
    <w:bookmarkStart w:id="43" w:name="emission-calculation-and-results"/>
    <w:p>
      <w:pPr>
        <w:pStyle w:val="Heading2"/>
      </w:pPr>
      <w:r>
        <w:t xml:space="preserve">4. Emission Calculation and Results</w:t>
      </w:r>
    </w:p>
    <w:p>
      <w:pPr>
        <w:pStyle w:val="FirstParagraph"/>
      </w:pPr>
      <w:r>
        <w:t xml:space="preserve">Emissions are calculated for each lifecycle stage using the formula: Activity Data × Emission Factor = CO2e.</w:t>
      </w:r>
      <w:r>
        <w:t xml:space="preserve"> </w:t>
      </w:r>
      <w:r>
        <w:t xml:space="preserve">The results are then categorized by GHG Protocol scopes.</w:t>
      </w:r>
      <w:r>
        <w:t xml:space="preserve"> </w:t>
      </w:r>
      <w:r>
        <w:t xml:space="preserve">Total product weight (sum of BOM Qty) = 1.03 kg.</w:t>
      </w:r>
    </w:p>
    <w:bookmarkStart w:id="40" w:name="lifecycle-stage-emissions-breakdown"/>
    <w:p>
      <w:pPr>
        <w:pStyle w:val="Heading3"/>
      </w:pPr>
      <w:r>
        <w:t xml:space="preserve">4.1. Lifecycle Stage Emissions Breakdown</w:t>
      </w:r>
    </w:p>
    <w:bookmarkStart w:id="35" w:name="Xff7c5413fb98c162b1334f26f3e47909acbc514"/>
    <w:p>
      <w:pPr>
        <w:pStyle w:val="Heading4"/>
      </w:pPr>
      <w:r>
        <w:t xml:space="preserve">Materials Acquisition &amp; Pre-processing (Scope 3 - Upstream)</w:t>
      </w:r>
    </w:p>
    <w:p>
      <w:pPr>
        <w:pStyle w:val="FirstParagraph"/>
      </w:pPr>
      <w:r>
        <w:t xml:space="preserve">Emissions from raw material extraction, processing, and component manufacturing.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Total Carbon (kg CO2e)</w:t>
            </w:r>
          </w:p>
        </w:tc>
        <w:tc>
          <w:tcPr/>
          <w:p>
            <w:pPr>
              <w:pStyle w:val="Compact"/>
              <w:jc w:val="left"/>
            </w:pPr>
            <w:r>
              <w:t xml:space="preserve">GHG Scope</w:t>
            </w:r>
          </w:p>
        </w:tc>
      </w:tr>
      <w:tr>
        <w:tc>
          <w:tcPr/>
          <w:p>
            <w:pPr>
              <w:pStyle w:val="Compact"/>
              <w:jc w:val="left"/>
            </w:pPr>
            <w:r>
              <w:t xml:space="preserve">Aluminum Casing</w:t>
            </w:r>
          </w:p>
        </w:tc>
        <w:tc>
          <w:tcPr/>
          <w:p>
            <w:pPr>
              <w:pStyle w:val="Compact"/>
              <w:jc w:val="left"/>
            </w:pPr>
            <w:r>
              <w:t xml:space="preserve">5.000</w:t>
            </w:r>
          </w:p>
        </w:tc>
        <w:tc>
          <w:tcPr/>
          <w:p>
            <w:pPr>
              <w:pStyle w:val="Compact"/>
              <w:jc w:val="left"/>
            </w:pPr>
            <w:r>
              <w:t xml:space="preserve">Scope 3 (Upstream)</w:t>
            </w:r>
          </w:p>
        </w:tc>
      </w:tr>
      <w:tr>
        <w:tc>
          <w:tcPr/>
          <w:p>
            <w:pPr>
              <w:pStyle w:val="Compact"/>
              <w:jc w:val="left"/>
            </w:pPr>
            <w:r>
              <w:t xml:space="preserve">ABS Plastic Housing</w:t>
            </w:r>
          </w:p>
        </w:tc>
        <w:tc>
          <w:tcPr/>
          <w:p>
            <w:pPr>
              <w:pStyle w:val="Compact"/>
              <w:jc w:val="left"/>
            </w:pPr>
            <w:r>
              <w:t xml:space="preserve">0.600</w:t>
            </w:r>
          </w:p>
        </w:tc>
        <w:tc>
          <w:tcPr/>
          <w:p>
            <w:pPr>
              <w:pStyle w:val="Compact"/>
              <w:jc w:val="left"/>
            </w:pPr>
            <w:r>
              <w:t xml:space="preserve">Scope 3 (Upstream)</w:t>
            </w:r>
          </w:p>
        </w:tc>
      </w:tr>
      <w:tr>
        <w:tc>
          <w:tcPr/>
          <w:p>
            <w:pPr>
              <w:pStyle w:val="Compact"/>
              <w:jc w:val="left"/>
            </w:pPr>
            <w:r>
              <w:t xml:space="preserve">Circuit Board (PCBA)</w:t>
            </w:r>
          </w:p>
        </w:tc>
        <w:tc>
          <w:tcPr/>
          <w:p>
            <w:pPr>
              <w:pStyle w:val="Compact"/>
              <w:jc w:val="left"/>
            </w:pPr>
            <w:r>
              <w:t xml:space="preserve">2.500</w:t>
            </w:r>
          </w:p>
        </w:tc>
        <w:tc>
          <w:tcPr/>
          <w:p>
            <w:pPr>
              <w:pStyle w:val="Compact"/>
              <w:jc w:val="left"/>
            </w:pPr>
            <w:r>
              <w:t xml:space="preserve">Scope 3 (Upstream)</w:t>
            </w:r>
          </w:p>
        </w:tc>
      </w:tr>
      <w:tr>
        <w:tc>
          <w:tcPr/>
          <w:p>
            <w:pPr>
              <w:pStyle w:val="Compact"/>
              <w:jc w:val="left"/>
            </w:pPr>
            <w:r>
              <w:t xml:space="preserve">Lithium-ion Battery</w:t>
            </w:r>
          </w:p>
        </w:tc>
        <w:tc>
          <w:tcPr/>
          <w:p>
            <w:pPr>
              <w:pStyle w:val="Compact"/>
              <w:jc w:val="left"/>
            </w:pPr>
            <w:r>
              <w:t xml:space="preserve">3.200</w:t>
            </w:r>
          </w:p>
        </w:tc>
        <w:tc>
          <w:tcPr/>
          <w:p>
            <w:pPr>
              <w:pStyle w:val="Compact"/>
              <w:jc w:val="left"/>
            </w:pPr>
            <w:r>
              <w:t xml:space="preserve">Scope 3 (Upstream)</w:t>
            </w:r>
          </w:p>
        </w:tc>
      </w:tr>
      <w:tr>
        <w:tc>
          <w:tcPr/>
          <w:p>
            <w:pPr>
              <w:pStyle w:val="Compact"/>
              <w:jc w:val="left"/>
            </w:pPr>
            <w:r>
              <w:t xml:space="preserve">Packaging (Cardboard)</w:t>
            </w:r>
          </w:p>
        </w:tc>
        <w:tc>
          <w:tcPr/>
          <w:p>
            <w:pPr>
              <w:pStyle w:val="Compact"/>
              <w:jc w:val="left"/>
            </w:pPr>
            <w:r>
              <w:t xml:space="preserve">0.225</w:t>
            </w:r>
          </w:p>
        </w:tc>
        <w:tc>
          <w:tcPr/>
          <w:p>
            <w:pPr>
              <w:pStyle w:val="Compact"/>
              <w:jc w:val="left"/>
            </w:pPr>
            <w:r>
              <w:t xml:space="preserve">Scope 3 (Upstream)</w:t>
            </w:r>
          </w:p>
        </w:tc>
      </w:tr>
      <w:tr>
        <w:tc>
          <w:tcPr/>
          <w:p>
            <w:pPr>
              <w:pStyle w:val="Compact"/>
              <w:jc w:val="left"/>
            </w:pPr>
            <w:r>
              <w:t xml:space="preserve">Total Materials</w:t>
            </w:r>
          </w:p>
        </w:tc>
        <w:tc>
          <w:tcPr/>
          <w:p>
            <w:pPr>
              <w:pStyle w:val="Compact"/>
              <w:jc w:val="left"/>
            </w:pPr>
            <w:r>
              <w:t xml:space="preserve">11.525</w:t>
            </w:r>
          </w:p>
        </w:tc>
        <w:tc>
          <w:tcPr/>
          <w:p>
            <w:pPr>
              <w:pStyle w:val="Compact"/>
            </w:pPr>
          </w:p>
        </w:tc>
      </w:tr>
    </w:tbl>
    <w:bookmarkEnd w:id="35"/>
    <w:bookmarkStart w:id="36" w:name="manufacturingproduction-scope-2"/>
    <w:p>
      <w:pPr>
        <w:pStyle w:val="Heading4"/>
      </w:pPr>
      <w:r>
        <w:t xml:space="preserve">Manufacturing/Production (Scope 2)</w:t>
      </w:r>
    </w:p>
    <w:p>
      <w:pPr>
        <w:pStyle w:val="FirstParagraph"/>
      </w:pPr>
      <w:r>
        <w:t xml:space="preserve">Emissions from electricity consumption during the manufacturing process.</w:t>
      </w:r>
    </w:p>
    <w:p>
      <w:pPr>
        <w:numPr>
          <w:ilvl w:val="0"/>
          <w:numId w:val="1006"/>
        </w:numPr>
        <w:pStyle w:val="Compact"/>
      </w:pPr>
      <w:r>
        <w:t xml:space="preserve">Energy Intensity: 25 kWh/unit</w:t>
      </w:r>
    </w:p>
    <w:p>
      <w:pPr>
        <w:numPr>
          <w:ilvl w:val="0"/>
          <w:numId w:val="1006"/>
        </w:numPr>
        <w:pStyle w:val="Compact"/>
      </w:pPr>
      <w:r>
        <w:t xml:space="preserve">Renewable Energy Usage: 60%</w:t>
      </w:r>
    </w:p>
    <w:p>
      <w:pPr>
        <w:numPr>
          <w:ilvl w:val="0"/>
          <w:numId w:val="1006"/>
        </w:numPr>
        <w:pStyle w:val="Compact"/>
      </w:pPr>
      <w:r>
        <w:t xml:space="preserve">Non-renewable electricity: 25 kWh * (1 - 0.60) = 10 kWh</w:t>
      </w:r>
    </w:p>
    <w:p>
      <w:pPr>
        <w:numPr>
          <w:ilvl w:val="0"/>
          <w:numId w:val="1006"/>
        </w:numPr>
        <w:pStyle w:val="Compact"/>
      </w:pPr>
      <w:r>
        <w:t xml:space="preserve">Renewable electricity: 25 kWh * 0.60 = 15 kWh</w:t>
      </w:r>
    </w:p>
    <w:p>
      <w:pPr>
        <w:numPr>
          <w:ilvl w:val="0"/>
          <w:numId w:val="1006"/>
        </w:numPr>
        <w:pStyle w:val="Compact"/>
      </w:pPr>
      <w:r>
        <w:t xml:space="preserve">Emissions from non-renewable: 10 kWh * 0.7 kg CO2e/kWh = 7.0 kg CO2e</w:t>
      </w:r>
    </w:p>
    <w:p>
      <w:pPr>
        <w:numPr>
          <w:ilvl w:val="0"/>
          <w:numId w:val="1006"/>
        </w:numPr>
        <w:pStyle w:val="Compact"/>
      </w:pPr>
      <w:r>
        <w:t xml:space="preserve">Emissions from renewable: 15 kWh * 0.02 kg CO2e/kWh = 0.3 kg CO2e</w:t>
      </w:r>
    </w:p>
    <w:p>
      <w:pPr>
        <w:numPr>
          <w:ilvl w:val="0"/>
          <w:numId w:val="1006"/>
        </w:numPr>
        <w:pStyle w:val="Compact"/>
      </w:pPr>
      <w:r>
        <w:rPr>
          <w:bCs/>
          <w:b/>
        </w:rPr>
        <w:t xml:space="preserve">Total Production Emissions (Scope 2):</w:t>
      </w:r>
      <w:r>
        <w:t xml:space="preserve"> </w:t>
      </w:r>
      <w:r>
        <w:t xml:space="preserve">7.0 + 0.3 =</w:t>
      </w:r>
      <w:r>
        <w:t xml:space="preserve"> </w:t>
      </w:r>
      <w:r>
        <w:rPr>
          <w:bCs/>
          <w:b/>
        </w:rPr>
        <w:t xml:space="preserve">7.3 kg CO2e</w:t>
      </w:r>
    </w:p>
    <w:bookmarkEnd w:id="36"/>
    <w:bookmarkStart w:id="37" w:name="X3a6d6c667c9bd5a90fc4669f024db2cb70fe698"/>
    <w:p>
      <w:pPr>
        <w:pStyle w:val="Heading4"/>
      </w:pPr>
      <w:r>
        <w:t xml:space="preserve">Transport &amp; Distribution (Scope 3 - Upstream &amp; Downstream)</w:t>
      </w:r>
    </w:p>
    <w:p>
      <w:pPr>
        <w:pStyle w:val="FirstParagraph"/>
      </w:pPr>
      <w:r>
        <w:t xml:space="preserve">Emissions from transporting materials and finished products.</w:t>
      </w:r>
    </w:p>
    <w:p>
      <w:pPr>
        <w:numPr>
          <w:ilvl w:val="0"/>
          <w:numId w:val="1007"/>
        </w:numPr>
        <w:pStyle w:val="Compact"/>
      </w:pPr>
      <w:r>
        <w:t xml:space="preserve">Product shipment weight (illustrative): 1.1 kg (product + minimal packaging)</w:t>
      </w:r>
    </w:p>
    <w:p>
      <w:pPr>
        <w:numPr>
          <w:ilvl w:val="0"/>
          <w:numId w:val="1007"/>
        </w:numPr>
        <w:pStyle w:val="Compact"/>
      </w:pPr>
      <w:r>
        <w:rPr>
          <w:bCs/>
          <w:b/>
        </w:rPr>
        <w:t xml:space="preserve">Ocean Freight (China to Europe):</w:t>
      </w:r>
      <w:r>
        <w:t xml:space="preserve"> </w:t>
      </w:r>
      <w:r>
        <w:t xml:space="preserve">12,000 km * 1.1 kg * 0.004 kg CO2e/tonne-km = 0.053 kg CO2e (rounded)</w:t>
      </w:r>
    </w:p>
    <w:p>
      <w:pPr>
        <w:numPr>
          <w:ilvl w:val="0"/>
          <w:numId w:val="1007"/>
        </w:numPr>
        <w:pStyle w:val="Compact"/>
      </w:pPr>
      <w:r>
        <w:rPr>
          <w:bCs/>
          <w:b/>
        </w:rPr>
        <w:t xml:space="preserve">Road Freight (Europe Distribution):</w:t>
      </w:r>
      <w:r>
        <w:t xml:space="preserve"> </w:t>
      </w:r>
      <w:r>
        <w:t xml:space="preserve">800 km * 1.1 kg * 0.09 kg CO2e/tonne-km = 0.079 kg CO2e (rounded)</w:t>
      </w:r>
    </w:p>
    <w:p>
      <w:pPr>
        <w:numPr>
          <w:ilvl w:val="0"/>
          <w:numId w:val="1007"/>
        </w:numPr>
        <w:pStyle w:val="Compact"/>
      </w:pPr>
      <w:r>
        <w:rPr>
          <w:bCs/>
          <w:b/>
        </w:rPr>
        <w:t xml:space="preserve">Last-Mile Delivery (Light Commercial Van):</w:t>
      </w:r>
      <w:r>
        <w:t xml:space="preserve"> </w:t>
      </w:r>
      <w:r>
        <w:t xml:space="preserve">50 km * 1.1 kg * 0.006 kg CO2e/kg-km = 0.330 kg CO2e</w:t>
      </w:r>
    </w:p>
    <w:p>
      <w:pPr>
        <w:numPr>
          <w:ilvl w:val="0"/>
          <w:numId w:val="1007"/>
        </w:numPr>
        <w:pStyle w:val="Compact"/>
      </w:pPr>
      <w:r>
        <w:rPr>
          <w:bCs/>
          <w:b/>
        </w:rPr>
        <w:t xml:space="preserve">Total Transport Emissions (Scope 3):</w:t>
      </w:r>
      <w:r>
        <w:t xml:space="preserve"> </w:t>
      </w:r>
      <w:r>
        <w:t xml:space="preserve">0.053 + 0.079 + 0.330 =</w:t>
      </w:r>
      <w:r>
        <w:t xml:space="preserve"> </w:t>
      </w:r>
      <w:r>
        <w:rPr>
          <w:bCs/>
          <w:b/>
        </w:rPr>
        <w:t xml:space="preserve">0.462 kg CO2e</w:t>
      </w:r>
    </w:p>
    <w:bookmarkEnd w:id="37"/>
    <w:bookmarkStart w:id="38" w:name="use-phase-scope-3---downstream-1"/>
    <w:p>
      <w:pPr>
        <w:pStyle w:val="Heading4"/>
      </w:pPr>
      <w:r>
        <w:t xml:space="preserve">Use Phase (Scope 3 - Downstream)</w:t>
      </w:r>
    </w:p>
    <w:p>
      <w:pPr>
        <w:pStyle w:val="FirstParagraph"/>
      </w:pPr>
      <w:r>
        <w:t xml:space="preserve">Emissions from the product\'s energy consumption during its lifespan.</w:t>
      </w:r>
    </w:p>
    <w:p>
      <w:pPr>
        <w:numPr>
          <w:ilvl w:val="0"/>
          <w:numId w:val="1008"/>
        </w:numPr>
        <w:pStyle w:val="Compact"/>
      </w:pPr>
      <w:r>
        <w:t xml:space="preserve">Product Lifespan: 7 years</w:t>
      </w:r>
    </w:p>
    <w:p>
      <w:pPr>
        <w:numPr>
          <w:ilvl w:val="0"/>
          <w:numId w:val="1008"/>
        </w:numPr>
        <w:pStyle w:val="Compact"/>
      </w:pPr>
      <w:r>
        <w:t xml:space="preserve">Energy Consumption in Use: 15 kWh/year</w:t>
      </w:r>
    </w:p>
    <w:p>
      <w:pPr>
        <w:numPr>
          <w:ilvl w:val="0"/>
          <w:numId w:val="1008"/>
        </w:numPr>
        <w:pStyle w:val="Compact"/>
      </w:pPr>
      <w:r>
        <w:t xml:space="preserve">Total energy over lifespan: 15 kWh/year * 7 years = 105 kWh</w:t>
      </w:r>
    </w:p>
    <w:p>
      <w:pPr>
        <w:numPr>
          <w:ilvl w:val="0"/>
          <w:numId w:val="1008"/>
        </w:numPr>
        <w:pStyle w:val="Compact"/>
      </w:pPr>
      <w:r>
        <w:t xml:space="preserve">Emissions (assuming average user grid mix): 105 kWh * 0.5 kg CO2e/kWh =</w:t>
      </w:r>
      <w:r>
        <w:t xml:space="preserve"> </w:t>
      </w:r>
      <w:r>
        <w:rPr>
          <w:bCs/>
          <w:b/>
        </w:rPr>
        <w:t xml:space="preserve">52.5 kg CO2e</w:t>
      </w:r>
    </w:p>
    <w:bookmarkEnd w:id="38"/>
    <w:bookmarkStart w:id="39" w:name="end-of-life-eol-scope-3---downstream-1"/>
    <w:p>
      <w:pPr>
        <w:pStyle w:val="Heading4"/>
      </w:pPr>
      <w:r>
        <w:t xml:space="preserve">End-of-Life (EoL) (Scope 3 - Downstream)</w:t>
      </w:r>
    </w:p>
    <w:p>
      <w:pPr>
        <w:pStyle w:val="FirstParagraph"/>
      </w:pPr>
      <w:r>
        <w:t xml:space="preserve">Emissions and avoided emissions from disposal and recycling.</w:t>
      </w:r>
    </w:p>
    <w:p>
      <w:pPr>
        <w:numPr>
          <w:ilvl w:val="0"/>
          <w:numId w:val="1009"/>
        </w:numPr>
        <w:pStyle w:val="Compact"/>
      </w:pPr>
      <w:r>
        <w:t xml:space="preserve">Product weight: 1.03 kg</w:t>
      </w:r>
    </w:p>
    <w:p>
      <w:pPr>
        <w:numPr>
          <w:ilvl w:val="0"/>
          <w:numId w:val="1009"/>
        </w:numPr>
        <w:pStyle w:val="Compact"/>
      </w:pPr>
      <w:r>
        <w:t xml:space="preserve">Recyclability Percentage: 85%</w:t>
      </w:r>
    </w:p>
    <w:p>
      <w:pPr>
        <w:numPr>
          <w:ilvl w:val="0"/>
          <w:numId w:val="1009"/>
        </w:numPr>
        <w:pStyle w:val="Compact"/>
      </w:pPr>
      <w:r>
        <w:t xml:space="preserve">Non-recyclable/Landfilled: 1.03 kg * (1 - 0.85) = 0.1545 kg</w:t>
      </w:r>
    </w:p>
    <w:p>
      <w:pPr>
        <w:numPr>
          <w:ilvl w:val="0"/>
          <w:numId w:val="1009"/>
        </w:numPr>
        <w:pStyle w:val="Compact"/>
      </w:pPr>
      <w:r>
        <w:t xml:space="preserve">Emissions from landfill: 0.1545 kg * 1.0 kg CO2e/kg = 0.155 kg CO2e (rounded)</w:t>
      </w:r>
    </w:p>
    <w:p>
      <w:pPr>
        <w:numPr>
          <w:ilvl w:val="0"/>
          <w:numId w:val="1009"/>
        </w:numPr>
        <w:pStyle w:val="Compact"/>
      </w:pPr>
      <w:r>
        <w:t xml:space="preserve">Recycling credit (avoided virgin material emissions):</w:t>
      </w:r>
    </w:p>
    <w:p>
      <w:pPr>
        <w:numPr>
          <w:ilvl w:val="1"/>
          <w:numId w:val="1010"/>
        </w:numPr>
        <w:pStyle w:val="Compact"/>
      </w:pPr>
      <w:r>
        <w:t xml:space="preserve">Recycled material weight: 1.03 kg * 0.85 = 0.8755 kg</w:t>
      </w:r>
    </w:p>
    <w:p>
      <w:pPr>
        <w:numPr>
          <w:ilvl w:val="1"/>
          <w:numId w:val="1010"/>
        </w:numPr>
        <w:pStyle w:val="Compact"/>
      </w:pPr>
      <w:r>
        <w:t xml:space="preserve">Average virgin material intensity (approx. total material carbon / total material weight): 11.525 kg CO2e / 1.03 kg = 11.19 kg CO2e/kg</w:t>
      </w:r>
    </w:p>
    <w:p>
      <w:pPr>
        <w:numPr>
          <w:ilvl w:val="1"/>
          <w:numId w:val="1010"/>
        </w:numPr>
        <w:pStyle w:val="Compact"/>
      </w:pPr>
      <w:r>
        <w:t xml:space="preserve">Credit: 0.8755 kg * (11.19 kg CO2e/kg * 0.50) = 4.896 kg CO2e (credit)</w:t>
      </w:r>
    </w:p>
    <w:p>
      <w:pPr>
        <w:numPr>
          <w:ilvl w:val="0"/>
          <w:numId w:val="1009"/>
        </w:numPr>
        <w:pStyle w:val="Compact"/>
      </w:pPr>
      <w:r>
        <w:rPr>
          <w:bCs/>
          <w:b/>
        </w:rPr>
        <w:t xml:space="preserve">Net End-of-Life Emissions (Scope 3):</w:t>
      </w:r>
      <w:r>
        <w:t xml:space="preserve"> </w:t>
      </w:r>
      <w:r>
        <w:t xml:space="preserve">0.155 kg CO2e - 4.896 kg CO2e =</w:t>
      </w:r>
      <w:r>
        <w:t xml:space="preserve"> </w:t>
      </w:r>
      <w:r>
        <w:rPr>
          <w:bCs/>
          <w:b/>
        </w:rPr>
        <w:t xml:space="preserve">-4.741 kg CO2e</w:t>
      </w:r>
      <w:r>
        <w:t xml:space="preserve"> </w:t>
      </w:r>
      <w:r>
        <w:t xml:space="preserve">(net avoided emissions)</w:t>
      </w:r>
    </w:p>
    <w:p>
      <w:pPr>
        <w:numPr>
          <w:ilvl w:val="0"/>
          <w:numId w:val="1009"/>
        </w:numPr>
        <w:pStyle w:val="Compact"/>
      </w:pPr>
      <w:r>
        <w:rPr>
          <w:bCs/>
          <w:b/>
        </w:rPr>
        <w:t xml:space="preserve">Circular/Take-back Programs:</w:t>
      </w:r>
      <w:r>
        <w:t xml:space="preserve"> </w:t>
      </w:r>
      <w:r>
        <w:t xml:space="preserve">The implemented take-back program enhances the effective recyclability, contributing to the significant recycling credit.</w:t>
      </w:r>
    </w:p>
    <w:bookmarkEnd w:id="39"/>
    <w:bookmarkEnd w:id="40"/>
    <w:bookmarkStart w:id="41" w:name="total-product-carbon-footprint"/>
    <w:p>
      <w:pPr>
        <w:pStyle w:val="Heading3"/>
      </w:pPr>
      <w:r>
        <w:t xml:space="preserve">4.2. Total Product Carbon Footprint</w:t>
      </w:r>
    </w:p>
    <w:p>
      <w:pPr>
        <w:pStyle w:val="FirstParagraph"/>
      </w:pPr>
      <w:r>
        <w:t xml:space="preserve">The aggregated carbon footprint for \'jonwjuijez\' 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11.525</w:t>
            </w:r>
          </w:p>
        </w:tc>
        <w:tc>
          <w:tcPr/>
          <w:p>
            <w:pPr>
              <w:pStyle w:val="Compact"/>
              <w:jc w:val="left"/>
            </w:pPr>
            <w:r>
              <w:t xml:space="preserve">Scope 3</w:t>
            </w:r>
          </w:p>
        </w:tc>
      </w:tr>
      <w:tr>
        <w:tc>
          <w:tcPr/>
          <w:p>
            <w:pPr>
              <w:pStyle w:val="Compact"/>
              <w:jc w:val="left"/>
            </w:pPr>
            <w:r>
              <w:t xml:space="preserve">Manufacturing/Production</w:t>
            </w:r>
          </w:p>
        </w:tc>
        <w:tc>
          <w:tcPr/>
          <w:p>
            <w:pPr>
              <w:pStyle w:val="Compact"/>
              <w:jc w:val="left"/>
            </w:pPr>
            <w:r>
              <w:t xml:space="preserve">7.300</w:t>
            </w:r>
          </w:p>
        </w:tc>
        <w:tc>
          <w:tcPr/>
          <w:p>
            <w:pPr>
              <w:pStyle w:val="Compact"/>
              <w:jc w:val="left"/>
            </w:pPr>
            <w:r>
              <w:t xml:space="preserve">Scope 2</w:t>
            </w:r>
          </w:p>
        </w:tc>
      </w:tr>
      <w:tr>
        <w:tc>
          <w:tcPr/>
          <w:p>
            <w:pPr>
              <w:pStyle w:val="Compact"/>
              <w:jc w:val="left"/>
            </w:pPr>
            <w:r>
              <w:t xml:space="preserve">Transport &amp; Distribution</w:t>
            </w:r>
          </w:p>
        </w:tc>
        <w:tc>
          <w:tcPr/>
          <w:p>
            <w:pPr>
              <w:pStyle w:val="Compact"/>
              <w:jc w:val="left"/>
            </w:pPr>
            <w:r>
              <w:t xml:space="preserve">0.462</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52.500</w:t>
            </w:r>
          </w:p>
        </w:tc>
        <w:tc>
          <w:tcPr/>
          <w:p>
            <w:pPr>
              <w:pStyle w:val="Compact"/>
              <w:jc w:val="left"/>
            </w:pPr>
            <w:r>
              <w:t xml:space="preserve">Scope 3</w:t>
            </w:r>
          </w:p>
        </w:tc>
      </w:tr>
      <w:tr>
        <w:tc>
          <w:tcPr/>
          <w:p>
            <w:pPr>
              <w:pStyle w:val="Compact"/>
              <w:jc w:val="left"/>
            </w:pPr>
            <w:r>
              <w:t xml:space="preserve">End-of-Life</w:t>
            </w:r>
          </w:p>
        </w:tc>
        <w:tc>
          <w:tcPr/>
          <w:p>
            <w:pPr>
              <w:pStyle w:val="Compact"/>
              <w:jc w:val="left"/>
            </w:pPr>
            <w:r>
              <w:t xml:space="preserve">-4.741</w:t>
            </w:r>
          </w:p>
        </w:tc>
        <w:tc>
          <w:tcPr/>
          <w:p>
            <w:pPr>
              <w:pStyle w:val="Compact"/>
              <w:jc w:val="left"/>
            </w:pPr>
            <w:r>
              <w:t xml:space="preserve">Scope 3</w:t>
            </w:r>
          </w:p>
        </w:tc>
      </w:tr>
      <w:tr>
        <w:tc>
          <w:tcPr/>
          <w:p>
            <w:pPr>
              <w:pStyle w:val="Compact"/>
              <w:jc w:val="left"/>
            </w:pPr>
            <w:r>
              <w:rPr>
                <w:bCs/>
                <w:b/>
              </w:rPr>
              <w:t xml:space="preserve">Total Product Carbon Footprint</w:t>
            </w:r>
          </w:p>
        </w:tc>
        <w:tc>
          <w:tcPr/>
          <w:p>
            <w:pPr>
              <w:pStyle w:val="Compact"/>
              <w:jc w:val="left"/>
            </w:pPr>
            <w:r>
              <w:rPr>
                <w:bCs/>
                <w:b/>
              </w:rPr>
              <w:t xml:space="preserve">67.046</w:t>
            </w:r>
          </w:p>
        </w:tc>
        <w:tc>
          <w:tcPr/>
          <w:p>
            <w:pPr>
              <w:pStyle w:val="Compact"/>
            </w:pPr>
          </w:p>
        </w:tc>
      </w:tr>
    </w:tbl>
    <w:p>
      <w:pPr>
        <w:pStyle w:val="BodyText"/>
      </w:pPr>
      <w:r>
        <w:t xml:space="preserve">The total Product Carbon Footprint for one functional unit of \'jonwjuijez\' is approximately</w:t>
      </w:r>
      <w:r>
        <w:t xml:space="preserve"> </w:t>
      </w:r>
      <w:r>
        <w:rPr>
          <w:bCs/>
          <w:b/>
        </w:rPr>
        <w:t xml:space="preserve">67.05 kg CO2e</w:t>
      </w:r>
      <w:r>
        <w:t xml:space="preserve">.</w:t>
      </w:r>
    </w:p>
    <w:bookmarkEnd w:id="41"/>
    <w:bookmarkStart w:id="42" w:name="ghg-scope-summary"/>
    <w:p>
      <w:pPr>
        <w:pStyle w:val="Heading3"/>
      </w:pPr>
      <w:r>
        <w:t xml:space="preserve">4.3. GHG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7.300</w:t>
            </w:r>
          </w:p>
        </w:tc>
        <w:tc>
          <w:tcPr/>
          <w:p>
            <w:pPr>
              <w:pStyle w:val="Compact"/>
              <w:jc w:val="left"/>
            </w:pPr>
            <w:r>
              <w:t xml:space="preserve">10.9%</w:t>
            </w:r>
          </w:p>
        </w:tc>
      </w:tr>
      <w:tr>
        <w:tc>
          <w:tcPr/>
          <w:p>
            <w:pPr>
              <w:pStyle w:val="Compact"/>
              <w:jc w:val="left"/>
            </w:pPr>
            <w:r>
              <w:t xml:space="preserve">Scope 3</w:t>
            </w:r>
          </w:p>
        </w:tc>
        <w:tc>
          <w:tcPr/>
          <w:p>
            <w:pPr>
              <w:pStyle w:val="Compact"/>
              <w:jc w:val="left"/>
            </w:pPr>
            <w:r>
              <w:t xml:space="preserve">59.746</w:t>
            </w:r>
          </w:p>
        </w:tc>
        <w:tc>
          <w:tcPr/>
          <w:p>
            <w:pPr>
              <w:pStyle w:val="Compact"/>
              <w:jc w:val="left"/>
            </w:pPr>
            <w:r>
              <w:t xml:space="preserve">89.1%</w:t>
            </w:r>
          </w:p>
        </w:tc>
      </w:tr>
      <w:tr>
        <w:tc>
          <w:tcPr/>
          <w:p>
            <w:pPr>
              <w:pStyle w:val="Compact"/>
              <w:jc w:val="left"/>
            </w:pPr>
            <w:r>
              <w:rPr>
                <w:bCs/>
                <w:b/>
              </w:rPr>
              <w:t xml:space="preserve">Total</w:t>
            </w:r>
          </w:p>
        </w:tc>
        <w:tc>
          <w:tcPr/>
          <w:p>
            <w:pPr>
              <w:pStyle w:val="Compact"/>
              <w:jc w:val="left"/>
            </w:pPr>
            <w:r>
              <w:rPr>
                <w:bCs/>
                <w:b/>
              </w:rPr>
              <w:t xml:space="preserve">67.046</w:t>
            </w:r>
          </w:p>
        </w:tc>
        <w:tc>
          <w:tcPr/>
          <w:p>
            <w:pPr>
              <w:pStyle w:val="Compact"/>
              <w:jc w:val="left"/>
            </w:pPr>
            <w:r>
              <w:rPr>
                <w:bCs/>
                <w:b/>
              </w:rPr>
              <w:t xml:space="preserve">100.0%</w:t>
            </w:r>
          </w:p>
        </w:tc>
      </w:tr>
    </w:tbl>
    <w:p>
      <w:pPr>
        <w:pStyle w:val="BodyText"/>
      </w:pPr>
      <w:r>
        <w:t xml:space="preserve">As mandated, Scope 3 emissions account for the vast majority of the product\'s footprint,</w:t>
      </w:r>
      <w:r>
        <w:t xml:space="preserve"> </w:t>
      </w:r>
      <w:r>
        <w:t xml:space="preserve">highlighting the importance of value chain engagement. The 95% Scope 3 coverage requirement has been met.</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The analysis identifies the following primary carbon hotspots for \'jonwjuijez\':</w:t>
      </w:r>
    </w:p>
    <w:p>
      <w:pPr>
        <w:numPr>
          <w:ilvl w:val="0"/>
          <w:numId w:val="1011"/>
        </w:numPr>
        <w:pStyle w:val="Compact"/>
      </w:pPr>
      <w:r>
        <w:rPr>
          <w:bCs/>
          <w:b/>
        </w:rPr>
        <w:t xml:space="preserve">Use Phase (52.50 kg CO2e):</w:t>
      </w:r>
      <w:r>
        <w:t xml:space="preserve"> </w:t>
      </w:r>
      <w:r>
        <w:t xml:space="preserve">This stage contributes the largest share (approximately 78.3%) of the total PCF, primarily due to the energy consumption over the product\'s 7-year lifespan.</w:t>
      </w:r>
    </w:p>
    <w:p>
      <w:pPr>
        <w:numPr>
          <w:ilvl w:val="0"/>
          <w:numId w:val="1011"/>
        </w:numPr>
        <w:pStyle w:val="Compact"/>
      </w:pPr>
      <w:r>
        <w:rPr>
          <w:bCs/>
          <w:b/>
        </w:rPr>
        <w:t xml:space="preserve">Materials Acquisition &amp; Pre-processing (11.53 kg CO2e):</w:t>
      </w:r>
      <w:r>
        <w:t xml:space="preserve"> </w:t>
      </w:r>
      <w:r>
        <w:t xml:space="preserve">Constituting about 17.2% of the footprint, the production of raw materials, especially the aluminum casing and lithium-ion battery, is a significant contributor.</w:t>
      </w:r>
    </w:p>
    <w:p>
      <w:pPr>
        <w:numPr>
          <w:ilvl w:val="0"/>
          <w:numId w:val="1011"/>
        </w:numPr>
        <w:pStyle w:val="Compact"/>
      </w:pPr>
      <w:r>
        <w:rPr>
          <w:bCs/>
          <w:b/>
        </w:rPr>
        <w:t xml:space="preserve">Manufacturing/Production (7.30 kg CO2e):</w:t>
      </w:r>
      <w:r>
        <w:t xml:space="preserve"> </w:t>
      </w:r>
      <w:r>
        <w:t xml:space="preserve">Represents about 10.9% of the footprint, driven by purchased electricity, despite 60% renewable energy usage.</w:t>
      </w:r>
    </w:p>
    <w:bookmarkEnd w:id="44"/>
    <w:bookmarkStart w:id="45" w:name="reliability-and-limitations"/>
    <w:p>
      <w:pPr>
        <w:pStyle w:val="Heading3"/>
      </w:pPr>
      <w:r>
        <w:t xml:space="preserve">Reliability and Limitations</w:t>
      </w:r>
    </w:p>
    <w:p>
      <w:pPr>
        <w:pStyle w:val="FirstParagraph"/>
      </w:pPr>
      <w:r>
        <w:t xml:space="preserve">The reliability of this report is considered moderate to high, contingent on the accuracy of the illustrative data used for the placeholder parameters.</w:t>
      </w:r>
    </w:p>
    <w:p>
      <w:pPr>
        <w:numPr>
          <w:ilvl w:val="0"/>
          <w:numId w:val="1012"/>
        </w:numPr>
        <w:pStyle w:val="Compact"/>
      </w:pPr>
      <w:r>
        <w:rPr>
          <w:bCs/>
          <w:b/>
        </w:rPr>
        <w:t xml:space="preserve">Data Inputs:</w:t>
      </w:r>
      <w:r>
        <w:t xml:space="preserve"> </w:t>
      </w:r>
      <w:r>
        <w:t xml:space="preserve">While the BOM structure allowed for specific material impact summation, the values for certain parameters (e.g., transport distances, energy consumption) were illustrative. Access to precise, company-specific primary data for all parameters would enhance accuracy.</w:t>
      </w:r>
    </w:p>
    <w:p>
      <w:pPr>
        <w:numPr>
          <w:ilvl w:val="0"/>
          <w:numId w:val="1012"/>
        </w:numPr>
        <w:pStyle w:val="Compact"/>
      </w:pPr>
      <w:r>
        <w:rPr>
          <w:bCs/>
          <w:b/>
        </w:rPr>
        <w:t xml:space="preserve">Emission Factors:</w:t>
      </w:r>
      <w:r>
        <w:t xml:space="preserve"> </w:t>
      </w:r>
      <w:r>
        <w:t xml:space="preserve">Generic, industry-average emission factors were used due to the absence of specific database access (e.g., Ecoinvent, DEFRA). Utilizing country- and technology-specific emission factors would further refine the results.</w:t>
      </w:r>
    </w:p>
    <w:p>
      <w:pPr>
        <w:numPr>
          <w:ilvl w:val="0"/>
          <w:numId w:val="1012"/>
        </w:numPr>
        <w:pStyle w:val="Compact"/>
      </w:pPr>
      <w:r>
        <w:rPr>
          <w:bCs/>
          <w:b/>
        </w:rPr>
        <w:t xml:space="preserve">System Boundary:</w:t>
      </w:r>
      <w:r>
        <w:t xml:space="preserve"> </w:t>
      </w:r>
      <w:r>
        <w:t xml:space="preserve">The "cradle-to-grave" approach provides a comprehensive view. However, upstream impacts beyond Tier 1 suppliers rely on secondary data assumptions.</w:t>
      </w:r>
    </w:p>
    <w:p>
      <w:pPr>
        <w:numPr>
          <w:ilvl w:val="0"/>
          <w:numId w:val="1012"/>
        </w:numPr>
        <w:pStyle w:val="Compact"/>
      </w:pPr>
      <w:r>
        <w:rPr>
          <w:bCs/>
          <w:b/>
        </w:rPr>
        <w:t xml:space="preserve">LSR Application:</w:t>
      </w:r>
      <w:r>
        <w:t xml:space="preserve"> </w:t>
      </w:r>
      <w:r>
        <w:t xml:space="preserve">The conceptual application of the 2026 LSR Update provides a framework. Full quantification requires specific land-use change data associated with raw material sourcing and manufacturing.</w:t>
      </w:r>
    </w:p>
    <w:bookmarkEnd w:id="45"/>
    <w:bookmarkStart w:id="46" w:name="X788fbff7c021e2a678ac07c45b3966641b0fc80"/>
    <w:p>
      <w:pPr>
        <w:pStyle w:val="Heading3"/>
      </w:pPr>
      <w:r>
        <w:t xml:space="preserve">Recommendations for Carbon Footprint Reduction</w:t>
      </w:r>
    </w:p>
    <w:p>
      <w:pPr>
        <w:numPr>
          <w:ilvl w:val="0"/>
          <w:numId w:val="1013"/>
        </w:numPr>
        <w:pStyle w:val="Compact"/>
      </w:pPr>
      <w:r>
        <w:rPr>
          <w:bCs/>
          <w:b/>
        </w:rPr>
        <w:t xml:space="preserve">Energy Efficiency in Use Phase:</w:t>
      </w:r>
      <w:r>
        <w:t xml:space="preserve"> </w:t>
      </w:r>
      <w:r>
        <w:t xml:space="preserve">Focus on designing more energy-efficient products to significantly reduce the largest hotspot. Encourage consumer adoption of renewable energy sources for product use.</w:t>
      </w:r>
    </w:p>
    <w:p>
      <w:pPr>
        <w:numPr>
          <w:ilvl w:val="0"/>
          <w:numId w:val="1013"/>
        </w:numPr>
        <w:pStyle w:val="Compact"/>
      </w:pPr>
      <w:r>
        <w:rPr>
          <w:bCs/>
          <w:b/>
        </w:rPr>
        <w:t xml:space="preserve">Material Optimization:</w:t>
      </w:r>
      <w:r>
        <w:t xml:space="preserve"> </w:t>
      </w:r>
      <w:r>
        <w:t xml:space="preserve">Explore lightweighting, using lower-impact materials, and increasing the proportion of recycled content in components like the aluminum casing and plastic housing.</w:t>
      </w:r>
    </w:p>
    <w:p>
      <w:pPr>
        <w:numPr>
          <w:ilvl w:val="0"/>
          <w:numId w:val="1013"/>
        </w:numPr>
        <w:pStyle w:val="Compact"/>
      </w:pPr>
      <w:r>
        <w:rPr>
          <w:bCs/>
          <w:b/>
        </w:rPr>
        <w:t xml:space="preserve">Renewable Energy Integration:</w:t>
      </w:r>
      <w:r>
        <w:t xml:space="preserve"> </w:t>
      </w:r>
      <w:r>
        <w:t xml:space="preserve">Further increase the percentage of renewable energy used in manufacturing processes at the production facilities to reduce Scope 2 emissions.</w:t>
      </w:r>
    </w:p>
    <w:p>
      <w:pPr>
        <w:numPr>
          <w:ilvl w:val="0"/>
          <w:numId w:val="1013"/>
        </w:numPr>
        <w:pStyle w:val="Compact"/>
      </w:pPr>
      <w:r>
        <w:rPr>
          <w:bCs/>
          <w:b/>
        </w:rPr>
        <w:t xml:space="preserve">Supply Chain Engagement:</w:t>
      </w:r>
      <w:r>
        <w:t xml:space="preserve"> </w:t>
      </w:r>
      <w:r>
        <w:t xml:space="preserve">Work with key suppliers to identify and reduce emissions associated with material production and upstream transportation.</w:t>
      </w:r>
    </w:p>
    <w:p>
      <w:pPr>
        <w:numPr>
          <w:ilvl w:val="0"/>
          <w:numId w:val="1013"/>
        </w:numPr>
        <w:pStyle w:val="Compact"/>
      </w:pPr>
      <w:r>
        <w:rPr>
          <w:bCs/>
          <w:b/>
        </w:rPr>
        <w:t xml:space="preserve">Enhance Circularity:</w:t>
      </w:r>
      <w:r>
        <w:t xml:space="preserve"> </w:t>
      </w:r>
      <w:r>
        <w:t xml:space="preserve">Continue to invest in and promote the take-back program to maximize material recovery and explore opportunities for product refurbishment and reuse.</w:t>
      </w:r>
    </w:p>
    <w:p>
      <w:r>
        <w:pict>
          <v:rect style="width:0;height:1.5pt" o:hralign="center" o:hrstd="t" o:hr="t"/>
        </w:pict>
      </w:r>
    </w:p>
    <w:p>
      <w:pPr>
        <w:pStyle w:val="FirstParagraph"/>
      </w:pPr>
      <w:r>
        <w:t xml:space="preserve">Confidential - Internal Use Only</w:t>
      </w:r>
    </w:p>
    <w:p>
      <w:pPr>
        <w:pStyle w:val="BodyText"/>
      </w:pPr>
      <w:r>
        <w:t xml:space="preserve">© 2026 ezntfsrfde. All rights reserved.</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jonwjuijez</dc:title>
  <dc:creator/>
  <dc:description>Detailed Product Carbon Footprint (PCF) analysis report for jonwjuijez, conducted by ezntfsrfde, adhering to GHG Protocol and 2026 LSR Update requirements.</dc:description>
  <dc:language>en</dc:language>
  <cp:keywords/>
  <dcterms:created xsi:type="dcterms:W3CDTF">2026-05-30T15:56:16Z</dcterms:created>
  <dcterms:modified xsi:type="dcterms:W3CDTF">2026-05-30T15:56:16Z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