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joelesgvyn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joelesgvyn</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fyxskxeyjw</w:t>
      </w:r>
    </w:p>
    <w:p>
      <w:pPr>
        <w:pStyle w:val="BodyText"/>
      </w:pPr>
      <w:r>
        <w:rPr>
          <w:bCs/>
          <w:b/>
        </w:rPr>
        <w:t xml:space="preserve">Senior Sustainability Consultant:</w:t>
      </w:r>
      <w:r>
        <w:t xml:space="preserve"> </w:t>
      </w:r>
      <w:r>
        <w:t xml:space="preserve">iidyyegjok</w:t>
      </w:r>
    </w:p>
    <w:p>
      <w:pPr>
        <w:pStyle w:val="BodyText"/>
      </w:pPr>
      <w:r>
        <w:t xml:space="preserve">This report is generated based on available data and industry standards. While every effort has been made to ensure accuracy, the results are indicative and subject to the completeness and reliability of the provided input parameters and chosen emission factors.</w:t>
      </w:r>
    </w:p>
    <w:bookmarkEnd w:id="20"/>
    <w:bookmarkStart w:id="22" w:name="Xfae016441024a19ee61e53adf940051ebb8778c"/>
    <w:p>
      <w:pPr>
        <w:pStyle w:val="Heading1"/>
      </w:pPr>
      <w:r>
        <w:t xml:space="preserve">Product Carbon Footprint Report for joelesgvyn</w:t>
      </w:r>
    </w:p>
    <w:bookmarkStart w:id="21" w:name="generated-date-may-20-2026"/>
    <w:p>
      <w:pPr>
        <w:pStyle w:val="Heading3"/>
      </w:pPr>
      <w:r>
        <w:t xml:space="preserve">Generated Date: May 20, 2026</w:t>
      </w:r>
    </w:p>
    <w:p>
      <w:r>
        <w:pict>
          <v:rect style="width:0;height:1.5pt" o:hralign="center" o:hrstd="t" o:hr="t"/>
        </w:pict>
      </w:r>
    </w:p>
    <w:bookmarkEnd w:id="21"/>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"joelesgvyn", manufactured by "fyxskxeyjw". The analysis was conducted by Senior Sustainability Consultant "iidyyegjok", adhering strictly to the GHG Protocol Corporate Accounting and Reporting Standard and the 2026 Land Sector and Removals (LSR) Standard. The objective is to quantify the greenhouse gas (GHG) emissions associated with the product across its lifecycle, from raw material acquisition to end-of-life, with a system boundary defined as \'factory_gate\' for the core product and extended to include downstream Scope 3 categories as per GHG Protocol requirements. The report aims to identify emission hotspots and provide a reliable baseline for reduction strategies.</w:t>
      </w:r>
    </w:p>
    <w:p>
      <w:r>
        <w:pict>
          <v:rect style="width:0;height:1.5pt" o:hralign="center" o:hrstd="t" o:hr="t"/>
        </w:pict>
      </w:r>
    </w:p>
    <w:bookmarkEnd w:id="23"/>
    <w:bookmarkStart w:id="24" w:name="defining-the-scope-of-analysis"/>
    <w:p>
      <w:pPr>
        <w:pStyle w:val="Heading2"/>
      </w:pPr>
      <w:r>
        <w:t xml:space="preserve">1. Defining the Scope of Analysis</w:t>
      </w:r>
    </w:p>
    <w:p>
      <w:pPr>
        <w:pStyle w:val="FirstParagraph"/>
      </w:pPr>
      <w:r>
        <w:t xml:space="preserve">The scope of this Product Carbon Footprint (PCF) analysis for "joelesgvyn" is defined in accordance with the GHG Protocol, distinguishing between the core system boundary and the broader value chain reporting requirements.</w:t>
      </w:r>
    </w:p>
    <w:p>
      <w:pPr>
        <w:numPr>
          <w:ilvl w:val="0"/>
          <w:numId w:val="1001"/>
        </w:numPr>
        <w:pStyle w:val="Compact"/>
      </w:pPr>
      <w:r>
        <w:rPr>
          <w:bCs/>
          <w:b/>
        </w:rPr>
        <w:t xml:space="preserve">Functional Unit:</w:t>
      </w:r>
      <w:r>
        <w:t xml:space="preserve"> </w:t>
      </w:r>
      <w:r>
        <w:t xml:space="preserve">1.0 unit of joelesgvyn.</w:t>
      </w:r>
    </w:p>
    <w:p>
      <w:pPr>
        <w:numPr>
          <w:ilvl w:val="0"/>
          <w:numId w:val="1001"/>
        </w:numPr>
        <w:pStyle w:val="Compact"/>
      </w:pPr>
      <w:r>
        <w:rPr>
          <w:bCs/>
          <w:b/>
        </w:rPr>
        <w:t xml:space="preserve">System Boundary:</w:t>
      </w:r>
      <w:r>
        <w:t xml:space="preserve"> </w:t>
      </w:r>
      <w:r>
        <w:t xml:space="preserve">factory_gate. This boundary encompasses all processes from raw material extraction and processing, through manufacturing, up to the point the finished product leaves the factory.</w:t>
      </w:r>
    </w:p>
    <w:p>
      <w:pPr>
        <w:numPr>
          <w:ilvl w:val="0"/>
          <w:numId w:val="1001"/>
        </w:numPr>
        <w:pStyle w:val="Compact"/>
      </w:pPr>
      <w:r>
        <w:rPr>
          <w:bCs/>
          <w:b/>
        </w:rPr>
        <w:t xml:space="preserve">Geographic Scope:</w:t>
      </w:r>
      <w:r>
        <w:t xml:space="preserve"> </w:t>
      </w:r>
      <w:r>
        <w:t xml:space="preserve">Final Production Country: China. Supply Chain Focus: Europe Focused (for upstream material sourcing). Downstream use phase and end-of-life impacts are considered globally, with a focus on average European grid mixes for the use phase.</w:t>
      </w:r>
    </w:p>
    <w:p>
      <w:pPr>
        <w:numPr>
          <w:ilvl w:val="0"/>
          <w:numId w:val="1001"/>
        </w:numPr>
        <w:pStyle w:val="Compact"/>
      </w:pPr>
      <w:r>
        <w:rPr>
          <w:bCs/>
          <w:b/>
        </w:rPr>
        <w:t xml:space="preserve">Accounting Standard:</w:t>
      </w:r>
      <w:r>
        <w:t xml:space="preserve"> </w:t>
      </w:r>
      <w:r>
        <w:t xml:space="preserve">This analysis strictly adheres to the GHG Protocol Corporate Accounting and Reporting Standard. Emissions are categorized into Scope 1 (direct emissions), Scope 2 (indirect emissions from purchased energy), and Scope 3 (all other indirect emissions in the value chain, both upstream and downstream).</w:t>
      </w:r>
    </w:p>
    <w:p>
      <w:pPr>
        <w:numPr>
          <w:ilvl w:val="0"/>
          <w:numId w:val="1001"/>
        </w:numPr>
        <w:pStyle w:val="Compact"/>
      </w:pPr>
      <w:r>
        <w:rPr>
          <w:bCs/>
          <w:b/>
        </w:rPr>
        <w:t xml:space="preserve">Allocation:</w:t>
      </w:r>
      <w:r>
        <w:t xml:space="preserve"> </w:t>
      </w:r>
      <w:r>
        <w:t xml:space="preserve">For multi-output processes, allocation has been applied based on physical relationships (e.g., mass) or economic value where appropriate, ensuring consistency and avoiding double counting.</w:t>
      </w:r>
    </w:p>
    <w:p>
      <w:pPr>
        <w:numPr>
          <w:ilvl w:val="0"/>
          <w:numId w:val="1001"/>
        </w:numPr>
        <w:pStyle w:val="Compact"/>
      </w:pPr>
      <w:r>
        <w:rPr>
          <w:bCs/>
          <w:b/>
        </w:rPr>
        <w:t xml:space="preserve">2026 LSR Update:</w:t>
      </w:r>
      <w:r>
        <w:t xml:space="preserve"> </w:t>
      </w:r>
      <w:r>
        <w:t xml:space="preserve">The Land Sector and Removals (LSR) Standard, effective January 1, 2027, is applied where relevant to account for land use and carbon removals. While specific land use data for all raw materials is not provided, the principles of the LSR Standard are acknowledged for potential future deeper analysis, particularly for any bio-based components or land-intensive processes in the supply chain. The LSR Standard provides requirements for quantifying, reporting, and tracking land emissions and CO₂ removals, as well as technological CO₂ removals.</w:t>
      </w:r>
    </w:p>
    <w:p>
      <w:r>
        <w:pict>
          <v:rect style="width:0;height:1.5pt" o:hralign="center" o:hrstd="t" o:hr="t"/>
        </w:pict>
      </w:r>
    </w:p>
    <w:bookmarkEnd w:id="24"/>
    <w:bookmarkStart w:id="30" w:name="X1c2b8334d48e66654b55f84164e32fa266cf112"/>
    <w:p>
      <w:pPr>
        <w:pStyle w:val="Heading2"/>
      </w:pPr>
      <w:r>
        <w:t xml:space="preserve">2. Mapping the Lifecycle (LCI Inventory Stages) &amp; 3. Collecting Data</w:t>
      </w:r>
    </w:p>
    <w:p>
      <w:pPr>
        <w:pStyle w:val="FirstParagraph"/>
      </w:pPr>
      <w:r>
        <w:t xml:space="preserve">The lifecycle of "joelesgvyn" is mapped through the following stages, with detailed data collection points and illustrative data based on the provided parameters.</w:t>
      </w:r>
    </w:p>
    <w:bookmarkStart w:id="25" w:name="X5fba48d7b85b1fc1d0080a72f3bcf6c0594fa3b"/>
    <w:p>
      <w:pPr>
        <w:pStyle w:val="Heading3"/>
      </w:pPr>
      <w:r>
        <w:t xml:space="preserve">2.1. Material Acquisition &amp; Pre-processing (Scope 3, Category 1: Purchased Goods and Services)</w:t>
      </w:r>
    </w:p>
    <w:p>
      <w:pPr>
        <w:pStyle w:val="FirstParagraph"/>
      </w:pPr>
      <w:r>
        <w:t xml:space="preserve">The Detailed Bill of Materials (BOM) for "joelesgvyn" (parameter: efzoizld) forms the basis for calculating the upstream material impacts. The following table provides an illustrative breakdown of materials, quantities, and their associated cradle-to-gate emission factors, derived from industry-standard databases like Ecoinvent and DEFRA, or directly from the BOM parameter where specified.</w:t>
      </w:r>
    </w:p>
    <w:p>
      <w:pPr>
        <w:pStyle w:val="BodyText"/>
      </w:pPr>
      <w:r>
        <w:rPr>
          <w:bCs/>
          <w:b/>
        </w:rPr>
        <w:t xml:space="preserve">Illustrative Bill of Materials (BOM) - Parameter: efzoizld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 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8.00</w:t>
            </w:r>
          </w:p>
        </w:tc>
        <w:tc>
          <w:tcPr/>
          <w:p>
            <w:pPr>
              <w:pStyle w:val="Compact"/>
              <w:jc w:val="left"/>
            </w:pPr>
            <w:r>
              <w:t xml:space="preserve">4.00</w:t>
            </w:r>
          </w:p>
        </w:tc>
      </w:tr>
      <w:tr>
        <w:tc>
          <w:tcPr/>
          <w:p>
            <w:pPr>
              <w:pStyle w:val="Compact"/>
              <w:jc w:val="left"/>
            </w:pPr>
            <w:r>
              <w:t xml:space="preserve">2</w:t>
            </w:r>
          </w:p>
        </w:tc>
        <w:tc>
          <w:tcPr/>
          <w:p>
            <w:pPr>
              <w:pStyle w:val="Compact"/>
              <w:jc w:val="left"/>
            </w:pPr>
            <w:r>
              <w:t xml:space="preserve">Plastic Housing (ABS)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3.50</w:t>
            </w:r>
          </w:p>
        </w:tc>
        <w:tc>
          <w:tcPr/>
          <w:p>
            <w:pPr>
              <w:pStyle w:val="Compact"/>
              <w:jc w:val="left"/>
            </w:pPr>
            <w:r>
              <w:t xml:space="preserve">0.70</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 &amp; Etching</w:t>
            </w:r>
          </w:p>
        </w:tc>
        <w:tc>
          <w:tcPr/>
          <w:p>
            <w:pPr>
              <w:pStyle w:val="Compact"/>
              <w:jc w:val="left"/>
            </w:pPr>
            <w:r>
              <w:t xml:space="preserve">1.0</w:t>
            </w:r>
          </w:p>
        </w:tc>
        <w:tc>
          <w:tcPr/>
          <w:p>
            <w:pPr>
              <w:pStyle w:val="Compact"/>
              <w:jc w:val="left"/>
            </w:pPr>
            <w:r>
              <w:t xml:space="preserve">piece</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 Refining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4.00</w:t>
            </w:r>
          </w:p>
        </w:tc>
        <w:tc>
          <w:tcPr/>
          <w:p>
            <w:pPr>
              <w:pStyle w:val="Compact"/>
              <w:jc w:val="left"/>
            </w:pPr>
            <w:r>
              <w:t xml:space="preserve">0.40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Corrugating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0.08</w:t>
            </w:r>
          </w:p>
        </w:tc>
      </w:tr>
      <w:tr>
        <w:tc>
          <w:tcPr>
            <w:gridSpan w:val="7"/>
          </w:tcPr>
          <w:p>
            <w:pPr>
              <w:pStyle w:val="Compact"/>
              <w:jc w:val="right"/>
            </w:pPr>
            <w:r>
              <w:rPr>
                <w:bCs/>
                <w:b/>
              </w:rPr>
              <w:t xml:space="preserve">Total Material Carbon Impact:</w:t>
            </w:r>
          </w:p>
        </w:tc>
        <w:tc>
          <w:tcPr/>
          <w:p>
            <w:pPr>
              <w:pStyle w:val="Compact"/>
              <w:jc w:val="left"/>
            </w:pPr>
            <w:r>
              <w:rPr>
                <w:bCs/>
                <w:b/>
              </w:rPr>
              <w:t xml:space="preserve">7.18 kg CO2e</w:t>
            </w:r>
          </w:p>
        </w:tc>
      </w:tr>
    </w:tbl>
    <w:p>
      <w:pPr>
        <w:pStyle w:val="BodyText"/>
      </w:pPr>
      <w:r>
        <w:rPr>
          <w:iCs/>
          <w:i/>
        </w:rPr>
        <w:t xml:space="preserve">Note: The "Emission Factor" and "Total Carbon" values in this table are illustrative, based on the specified format for the \'efzoizld\' parameter. Actual values would be derived directly from the provided BOM data. Typical emission factors for materials like primary aluminum range from 6-10 kg CO2e/kg, plastics (e.g., ABS) around 3-5 kg CO2e/kg, and copper around 3-5 kg CO2e/kg. Electronics components like PCBs can have high embodied emissions due to complex manufacturing and material diversity.</w:t>
      </w:r>
    </w:p>
    <w:bookmarkEnd w:id="25"/>
    <w:bookmarkStart w:id="26" w:name="manufacturing-production-phase"/>
    <w:p>
      <w:pPr>
        <w:pStyle w:val="Heading3"/>
      </w:pPr>
      <w:r>
        <w:t xml:space="preserve">2.2. Manufacturing (Production Phase)</w:t>
      </w:r>
    </w:p>
    <w:p>
      <w:pPr>
        <w:numPr>
          <w:ilvl w:val="0"/>
          <w:numId w:val="1002"/>
        </w:numPr>
        <w:pStyle w:val="Compact"/>
      </w:pPr>
      <w:r>
        <w:rPr>
          <w:bCs/>
          <w:b/>
        </w:rPr>
        <w:t xml:space="preserve">Energy Intensity (kWh/unit):</w:t>
      </w:r>
      <w:r>
        <w:t xml:space="preserve"> </w:t>
      </w:r>
      <w:r>
        <w:t xml:space="preserve">revkvovemo (Illustrative: 2.5 kWh/unit)</w:t>
      </w:r>
    </w:p>
    <w:p>
      <w:pPr>
        <w:numPr>
          <w:ilvl w:val="0"/>
          <w:numId w:val="1002"/>
        </w:numPr>
        <w:pStyle w:val="Compact"/>
      </w:pPr>
      <w:r>
        <w:rPr>
          <w:bCs/>
          <w:b/>
        </w:rPr>
        <w:t xml:space="preserve">Renewable Energy Usage:</w:t>
      </w:r>
      <w:r>
        <w:t xml:space="preserve"> </w:t>
      </w:r>
      <w:r>
        <w:t xml:space="preserve">jsotwyyxon (Illustrative: 40%)</w:t>
      </w:r>
    </w:p>
    <w:p>
      <w:pPr>
        <w:numPr>
          <w:ilvl w:val="0"/>
          <w:numId w:val="1002"/>
        </w:numPr>
        <w:pStyle w:val="Compact"/>
      </w:pPr>
      <w:r>
        <w:rPr>
          <w:bCs/>
          <w:b/>
        </w:rPr>
        <w:t xml:space="preserve">Geographic Location:</w:t>
      </w:r>
      <w:r>
        <w:t xml:space="preserve"> </w:t>
      </w:r>
      <w:r>
        <w:t xml:space="preserve">China (Final Production Country)</w:t>
      </w:r>
    </w:p>
    <w:p>
      <w:pPr>
        <w:numPr>
          <w:ilvl w:val="0"/>
          <w:numId w:val="1002"/>
        </w:numPr>
        <w:pStyle w:val="Compact"/>
      </w:pPr>
      <w:r>
        <w:rPr>
          <w:bCs/>
          <w:b/>
        </w:rPr>
        <w:t xml:space="preserve">Emission Factor for Grid Electricity (China):</w:t>
      </w:r>
      <w:r>
        <w:t xml:space="preserve"> </w:t>
      </w:r>
      <w:r>
        <w:t xml:space="preserve">An average emission factor for electricity in China\'s East Grid is approximately 0.65 kg CO2e/kWh, based on Ecoinvent data reflecting 2020-2021 energy mixes.</w:t>
      </w:r>
    </w:p>
    <w:p>
      <w:pPr>
        <w:numPr>
          <w:ilvl w:val="0"/>
          <w:numId w:val="1002"/>
        </w:numPr>
        <w:pStyle w:val="Compact"/>
      </w:pPr>
      <w:r>
        <w:rPr>
          <w:bCs/>
          <w:b/>
        </w:rPr>
        <w:t xml:space="preserve">Direct Fuel Combustion (Scope 1):</w:t>
      </w:r>
      <w:r>
        <w:t xml:space="preserve"> </w:t>
      </w:r>
      <w:r>
        <w:t xml:space="preserve">No specific data for on-site fuel combustion was provided. For this analysis, it is assumed to be negligible or integrated into overall energy consumption if applicable. However, for a complete GHG Protocol inventory, direct combustion sources (e.g., natural gas for heating, company-owned vehicles) would be quantified.</w:t>
      </w:r>
    </w:p>
    <w:bookmarkEnd w:id="26"/>
    <w:bookmarkStart w:id="27" w:name="X26b199d03110895c64486797c993b634936b829"/>
    <w:p>
      <w:pPr>
        <w:pStyle w:val="Heading3"/>
      </w:pPr>
      <w:r>
        <w:t xml:space="preserve">2.3. Transport (Scope 3, Category 4: Upstream Transportation and Distribution)</w:t>
      </w:r>
    </w:p>
    <w:p>
      <w:pPr>
        <w:pStyle w:val="FirstParagraph"/>
      </w:pPr>
      <w:r>
        <w:t xml:space="preserve">This section focuses on the transportation of raw materials and components from European suppliers to the manufacturing facility in China, based on the specified supply chain focus and parameters.</w:t>
      </w:r>
    </w:p>
    <w:p>
      <w:pPr>
        <w:numPr>
          <w:ilvl w:val="0"/>
          <w:numId w:val="1003"/>
        </w:numPr>
        <w:pStyle w:val="Compact"/>
      </w:pPr>
      <w:r>
        <w:rPr>
          <w:bCs/>
          <w:b/>
        </w:rPr>
        <w:t xml:space="preserve">Transport Mode:</w:t>
      </w:r>
      <w:r>
        <w:t xml:space="preserve"> </w:t>
      </w:r>
      <w:r>
        <w:t xml:space="preserve">Select Mode (Illustrative: Ocean Freight for long-distance; Truck for regional/last-mile)</w:t>
      </w:r>
    </w:p>
    <w:p>
      <w:pPr>
        <w:numPr>
          <w:ilvl w:val="0"/>
          <w:numId w:val="1003"/>
        </w:numPr>
        <w:pStyle w:val="Compact"/>
      </w:pPr>
      <w:r>
        <w:rPr>
          <w:bCs/>
          <w:b/>
        </w:rPr>
        <w:t xml:space="preserve">Transport Distance:</w:t>
      </w:r>
      <w:r>
        <w:t xml:space="preserve"> </w:t>
      </w:r>
      <w:r>
        <w:t xml:space="preserve">qrzdjoeogg (Illustrative: 12,000 km for ocean, 500 km for truck)</w:t>
      </w:r>
    </w:p>
    <w:p>
      <w:pPr>
        <w:numPr>
          <w:ilvl w:val="0"/>
          <w:numId w:val="1003"/>
        </w:numPr>
        <w:pStyle w:val="Compact"/>
      </w:pPr>
      <w:r>
        <w:rPr>
          <w:bCs/>
          <w:b/>
        </w:rPr>
        <w:t xml:space="preserve">Last-Mile Delivery Channel (to factory):</w:t>
      </w:r>
      <w:r>
        <w:t xml:space="preserve"> </w:t>
      </w:r>
      <w:r>
        <w:t xml:space="preserve">Delivery Type (Illustrative: Road Freight - Heavy Goods Vehicle)</w:t>
      </w:r>
    </w:p>
    <w:p>
      <w:pPr>
        <w:numPr>
          <w:ilvl w:val="0"/>
          <w:numId w:val="1003"/>
        </w:numPr>
        <w:pStyle w:val="Compact"/>
      </w:pPr>
      <w:r>
        <w:rPr>
          <w:bCs/>
          <w:b/>
        </w:rPr>
        <w:t xml:space="preserve">Assumed Product Weight for Transport:</w:t>
      </w:r>
      <w:r>
        <w:t xml:space="preserve"> </w:t>
      </w:r>
      <w:r>
        <w:t xml:space="preserve">1.0 kg/unit (based on illustrative BOM total mass).</w:t>
      </w:r>
    </w:p>
    <w:p>
      <w:pPr>
        <w:numPr>
          <w:ilvl w:val="0"/>
          <w:numId w:val="1003"/>
        </w:numPr>
        <w:pStyle w:val="Compact"/>
      </w:pPr>
      <w:r>
        <w:rPr>
          <w:bCs/>
          <w:b/>
        </w:rPr>
        <w:t xml:space="preserve">Emission Factors for Transport (from DEFRA, Ecoinvent):</w:t>
      </w:r>
    </w:p>
    <w:p>
      <w:pPr>
        <w:numPr>
          <w:ilvl w:val="1"/>
          <w:numId w:val="1004"/>
        </w:numPr>
        <w:pStyle w:val="Compact"/>
      </w:pPr>
      <w:r>
        <w:t xml:space="preserve">Ocean Freight (Container Ship, average): ~0.016 kg CO2e/tonne-km.</w:t>
      </w:r>
    </w:p>
    <w:p>
      <w:pPr>
        <w:numPr>
          <w:ilvl w:val="1"/>
          <w:numId w:val="1004"/>
        </w:numPr>
        <w:pStyle w:val="Compact"/>
      </w:pPr>
      <w:r>
        <w:t xml:space="preserve">Road Freight (Heavy Goods Vehicle, average laden): ~0.1 kg CO2e/tonne-km.</w:t>
      </w:r>
    </w:p>
    <w:bookmarkEnd w:id="27"/>
    <w:bookmarkStart w:id="28" w:name="Xc8d47610e025d3b1fe367d676386ecee874efa3"/>
    <w:p>
      <w:pPr>
        <w:pStyle w:val="Heading3"/>
      </w:pPr>
      <w:r>
        <w:t xml:space="preserve">2.4. Use Phase (Scope 3, Category 11: Use of Sold Products)</w:t>
      </w:r>
    </w:p>
    <w:p>
      <w:pPr>
        <w:pStyle w:val="FirstParagraph"/>
      </w:pPr>
      <w:r>
        <w:t xml:space="preserve">This phase accounts for the energy consumption of the product during its operational lifespan.</w:t>
      </w:r>
    </w:p>
    <w:p>
      <w:pPr>
        <w:numPr>
          <w:ilvl w:val="0"/>
          <w:numId w:val="1005"/>
        </w:numPr>
        <w:pStyle w:val="Compact"/>
      </w:pPr>
      <w:r>
        <w:rPr>
          <w:bCs/>
          <w:b/>
        </w:rPr>
        <w:t xml:space="preserve">Product Lifespan:</w:t>
      </w:r>
      <w:r>
        <w:t xml:space="preserve"> </w:t>
      </w:r>
      <w:r>
        <w:t xml:space="preserve">nnewhqrtqg (Illustrative: 5 years)</w:t>
      </w:r>
    </w:p>
    <w:p>
      <w:pPr>
        <w:numPr>
          <w:ilvl w:val="0"/>
          <w:numId w:val="1005"/>
        </w:numPr>
        <w:pStyle w:val="Compact"/>
      </w:pPr>
      <w:r>
        <w:rPr>
          <w:bCs/>
          <w:b/>
        </w:rPr>
        <w:t xml:space="preserve">Energy Consumption in Use:</w:t>
      </w:r>
      <w:r>
        <w:t xml:space="preserve"> </w:t>
      </w:r>
      <w:r>
        <w:t xml:space="preserve">msqrlfidgf (Illustrative: 0.1 kWh/day)</w:t>
      </w:r>
    </w:p>
    <w:p>
      <w:pPr>
        <w:numPr>
          <w:ilvl w:val="0"/>
          <w:numId w:val="1005"/>
        </w:numPr>
        <w:pStyle w:val="Compact"/>
      </w:pPr>
      <w:r>
        <w:rPr>
          <w:bCs/>
          <w:b/>
        </w:rPr>
        <w:t xml:space="preserve">Assumed Geographic Market:</w:t>
      </w:r>
      <w:r>
        <w:t xml:space="preserve"> </w:t>
      </w:r>
      <w:r>
        <w:t xml:space="preserve">Europe Focused (as per supply chain, implies primary market for downstream impacts).</w:t>
      </w:r>
    </w:p>
    <w:p>
      <w:pPr>
        <w:numPr>
          <w:ilvl w:val="0"/>
          <w:numId w:val="1005"/>
        </w:numPr>
        <w:pStyle w:val="Compact"/>
      </w:pPr>
      <w:r>
        <w:rPr>
          <w:bCs/>
          <w:b/>
        </w:rPr>
        <w:t xml:space="preserve">Emission Factor for Grid Electricity (Europe):</w:t>
      </w:r>
      <w:r>
        <w:t xml:space="preserve"> </w:t>
      </w:r>
      <w:r>
        <w:t xml:space="preserve">An average emission factor for grid electricity in Europe is approximately 0.25 kg CO2e/kWh, considering various national mixes and renewable energy adoption.</w:t>
      </w:r>
    </w:p>
    <w:bookmarkEnd w:id="28"/>
    <w:bookmarkStart w:id="29" w:name="X9982929b618de862c11111658ccce8db3e98553"/>
    <w:p>
      <w:pPr>
        <w:pStyle w:val="Heading3"/>
      </w:pPr>
      <w:r>
        <w:t xml:space="preserve">2.5. End-of-Life (EoL) (Scope 3, Category 12: End-of-Life Treatment of Sold Products)</w:t>
      </w:r>
    </w:p>
    <w:p>
      <w:pPr>
        <w:pStyle w:val="FirstParagraph"/>
      </w:pPr>
      <w:r>
        <w:t xml:space="preserve">The EoL stage considers the fate of the product after its useful life, including recycling and disposal.</w:t>
      </w:r>
    </w:p>
    <w:p>
      <w:pPr>
        <w:numPr>
          <w:ilvl w:val="0"/>
          <w:numId w:val="1006"/>
        </w:numPr>
        <w:pStyle w:val="Compact"/>
      </w:pPr>
      <w:r>
        <w:rPr>
          <w:bCs/>
          <w:b/>
        </w:rPr>
        <w:t xml:space="preserve">Recyclability Percentage:</w:t>
      </w:r>
      <w:r>
        <w:t xml:space="preserve"> </w:t>
      </w:r>
      <w:r>
        <w:t xml:space="preserve">xpxgvlszng (Illustrative: 70%)</w:t>
      </w:r>
    </w:p>
    <w:p>
      <w:pPr>
        <w:numPr>
          <w:ilvl w:val="0"/>
          <w:numId w:val="1006"/>
        </w:numPr>
        <w:pStyle w:val="Compact"/>
      </w:pPr>
      <w:r>
        <w:rPr>
          <w:bCs/>
          <w:b/>
        </w:rPr>
        <w:t xml:space="preserve">Circular/Take-back Programs:</w:t>
      </w:r>
      <w:r>
        <w:t xml:space="preserve"> </w:t>
      </w:r>
      <w:r>
        <w:t xml:space="preserve">whvndxxokx (Illustrative: Active Regional Program)</w:t>
      </w:r>
    </w:p>
    <w:p>
      <w:pPr>
        <w:numPr>
          <w:ilvl w:val="0"/>
          <w:numId w:val="1006"/>
        </w:numPr>
        <w:pStyle w:val="Compact"/>
      </w:pPr>
      <w:r>
        <w:rPr>
          <w:bCs/>
          <w:b/>
        </w:rPr>
        <w:t xml:space="preserve">Assumed Product Weight:</w:t>
      </w:r>
      <w:r>
        <w:t xml:space="preserve"> </w:t>
      </w:r>
      <w:r>
        <w:t xml:space="preserve">1.0 kg/unit.</w:t>
      </w:r>
    </w:p>
    <w:p>
      <w:pPr>
        <w:numPr>
          <w:ilvl w:val="0"/>
          <w:numId w:val="1006"/>
        </w:numPr>
        <w:pStyle w:val="Compact"/>
      </w:pPr>
      <w:r>
        <w:rPr>
          <w:bCs/>
          <w:b/>
        </w:rPr>
        <w:t xml:space="preserve">Emission Factors for EoL (from EPA WARM, DEFRA, Ecoinvent):</w:t>
      </w:r>
    </w:p>
    <w:p>
      <w:pPr>
        <w:numPr>
          <w:ilvl w:val="1"/>
          <w:numId w:val="1007"/>
        </w:numPr>
        <w:pStyle w:val="Compact"/>
      </w:pPr>
      <w:r>
        <w:t xml:space="preserve">Landfilling of mixed plastics: ~0.033 kg CO2e/kg.</w:t>
      </w:r>
    </w:p>
    <w:p>
      <w:pPr>
        <w:numPr>
          <w:ilvl w:val="1"/>
          <w:numId w:val="1007"/>
        </w:numPr>
        <w:pStyle w:val="Compact"/>
      </w:pPr>
      <w:r>
        <w:t xml:space="preserve">Recycling plastic (mechanical, credit for avoided virgin material): Highly variable, can be a credit or small emission depending on process and material type. EPA WARM models show net emission reductions (credits) for recycling HDPE and PET (e.g., -0.88 kg CO2e/kg for HDPE, -1.13 kg CO2e/kg for PET). For simplification, we will apply a general recycling credit.</w:t>
      </w:r>
    </w:p>
    <w:p>
      <w:pPr>
        <w:numPr>
          <w:ilvl w:val="1"/>
          <w:numId w:val="1007"/>
        </w:numPr>
        <w:pStyle w:val="Compact"/>
      </w:pPr>
      <w:r>
        <w:t xml:space="preserve">Recycling aluminum: Significant emission reduction (92-95% fewer emissions than primary production).</w:t>
      </w:r>
    </w:p>
    <w:p>
      <w:r>
        <w:pict>
          <v:rect style="width:0;height:1.5pt" o:hralign="center" o:hrstd="t" o:hr="t"/>
        </w:pict>
      </w:r>
    </w:p>
    <w:bookmarkEnd w:id="29"/>
    <w:bookmarkEnd w:id="30"/>
    <w:bookmarkStart w:id="42" w:name="X3720d7d0541b3a6e3c473bd4daa188ddb828856"/>
    <w:p>
      <w:pPr>
        <w:pStyle w:val="Heading2"/>
      </w:pPr>
      <w:r>
        <w:t xml:space="preserve">4. Calculating Emissions (Activity * Emission Factor = CO2e)</w:t>
      </w:r>
    </w:p>
    <w:p>
      <w:pPr>
        <w:pStyle w:val="FirstParagraph"/>
      </w:pPr>
      <w:r>
        <w:t xml:space="preserve">The emissions are calculated for each lifecycle stage based on the collected data and industry-standard emission factors (e.g., from Ecoinvent, DEFRA, EPA WARM). All results are expressed in kg CO2e per functional unit (1.0 unit of joelesgvyn).</w:t>
      </w:r>
    </w:p>
    <w:bookmarkStart w:id="31" w:name="X299a3717db401fbc63eac38de0814f3ad8939f4"/>
    <w:p>
      <w:pPr>
        <w:pStyle w:val="Heading3"/>
      </w:pPr>
      <w:r>
        <w:t xml:space="preserve">4.1. Total Product Carbon Footprint (PCF) Summary</w:t>
      </w:r>
    </w:p>
    <w:p>
      <w:pPr>
        <w:pStyle w:val="FirstParagraph"/>
      </w:pPr>
      <w:r>
        <w:rPr>
          <w:bCs/>
          <w:b/>
        </w:rPr>
        <w:t xml:space="preserve">Total Emissions for joelesgvyn per Functional Unit (1.0 unit)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Calculated Emissions (kg CO2e)</w:t>
            </w:r>
          </w:p>
        </w:tc>
      </w:tr>
      <w:tr>
        <w:tc>
          <w:tcPr/>
          <w:p>
            <w:pPr>
              <w:pStyle w:val="Compact"/>
              <w:jc w:val="left"/>
            </w:pPr>
            <w:r>
              <w:rPr>
                <w:bCs/>
                <w:b/>
              </w:rPr>
              <w:t xml:space="preserve">Material Acquisition &amp; Pre-processing</w:t>
            </w:r>
          </w:p>
        </w:tc>
        <w:tc>
          <w:tcPr/>
          <w:p>
            <w:pPr>
              <w:pStyle w:val="Compact"/>
              <w:jc w:val="left"/>
            </w:pPr>
            <w:r>
              <w:t xml:space="preserve">Scope 3, Category 1 (Upstream)</w:t>
            </w:r>
          </w:p>
        </w:tc>
        <w:tc>
          <w:tcPr/>
          <w:p>
            <w:pPr>
              <w:pStyle w:val="Compact"/>
              <w:jc w:val="left"/>
            </w:pPr>
            <w:r>
              <w:t xml:space="preserve">7.18</w:t>
            </w:r>
          </w:p>
        </w:tc>
      </w:tr>
      <w:tr>
        <w:tc>
          <w:tcPr/>
          <w:p>
            <w:pPr>
              <w:pStyle w:val="Compact"/>
              <w:jc w:val="left"/>
            </w:pPr>
            <w:r>
              <w:rPr>
                <w:bCs/>
                <w:b/>
              </w:rPr>
              <w:t xml:space="preserve">Manufacturing - Scope 1 (Direct)</w:t>
            </w:r>
          </w:p>
        </w:tc>
        <w:tc>
          <w:tcPr/>
          <w:p>
            <w:pPr>
              <w:pStyle w:val="Compact"/>
              <w:jc w:val="left"/>
            </w:pPr>
            <w:r>
              <w:t xml:space="preserve">Scope 1</w:t>
            </w:r>
          </w:p>
        </w:tc>
        <w:tc>
          <w:tcPr/>
          <w:p>
            <w:pPr>
              <w:pStyle w:val="Compact"/>
              <w:jc w:val="left"/>
            </w:pPr>
            <w:r>
              <w:t xml:space="preserve">0.00 (Assumed negligible / no specific data)</w:t>
            </w:r>
          </w:p>
        </w:tc>
      </w:tr>
      <w:tr>
        <w:tc>
          <w:tcPr/>
          <w:p>
            <w:pPr>
              <w:pStyle w:val="Compact"/>
              <w:jc w:val="left"/>
            </w:pPr>
            <w:r>
              <w:rPr>
                <w:bCs/>
                <w:b/>
              </w:rPr>
              <w:t xml:space="preserve">Manufacturing - Scope 2 (Purchased Electricity)</w:t>
            </w:r>
          </w:p>
        </w:tc>
        <w:tc>
          <w:tcPr/>
          <w:p>
            <w:pPr>
              <w:pStyle w:val="Compact"/>
              <w:jc w:val="left"/>
            </w:pPr>
            <w:r>
              <w:t xml:space="preserve">Scope 2</w:t>
            </w:r>
          </w:p>
        </w:tc>
        <w:tc>
          <w:tcPr/>
          <w:p>
            <w:pPr>
              <w:pStyle w:val="Compact"/>
              <w:jc w:val="left"/>
            </w:pPr>
            <w:r>
              <w:t xml:space="preserve">0.98</w:t>
            </w:r>
          </w:p>
        </w:tc>
      </w:tr>
      <w:tr>
        <w:tc>
          <w:tcPr/>
          <w:p>
            <w:pPr>
              <w:pStyle w:val="Compact"/>
              <w:jc w:val="left"/>
            </w:pPr>
            <w:r>
              <w:rPr>
                <w:bCs/>
                <w:b/>
              </w:rPr>
              <w:t xml:space="preserve">Transport (Upstream, to factory)</w:t>
            </w:r>
          </w:p>
        </w:tc>
        <w:tc>
          <w:tcPr/>
          <w:p>
            <w:pPr>
              <w:pStyle w:val="Compact"/>
              <w:jc w:val="left"/>
            </w:pPr>
            <w:r>
              <w:t xml:space="preserve">Scope 3, Category 4 (Upstream)</w:t>
            </w:r>
          </w:p>
        </w:tc>
        <w:tc>
          <w:tcPr/>
          <w:p>
            <w:pPr>
              <w:pStyle w:val="Compact"/>
              <w:jc w:val="left"/>
            </w:pPr>
            <w:r>
              <w:t xml:space="preserve">0.30</w:t>
            </w:r>
          </w:p>
        </w:tc>
      </w:tr>
      <w:tr>
        <w:tc>
          <w:tcPr/>
          <w:p>
            <w:pPr>
              <w:pStyle w:val="Compact"/>
              <w:jc w:val="left"/>
            </w:pPr>
            <w:r>
              <w:rPr>
                <w:bCs/>
                <w:b/>
              </w:rPr>
              <w:t xml:space="preserve">Use Phase</w:t>
            </w:r>
          </w:p>
        </w:tc>
        <w:tc>
          <w:tcPr/>
          <w:p>
            <w:pPr>
              <w:pStyle w:val="Compact"/>
              <w:jc w:val="left"/>
            </w:pPr>
            <w:r>
              <w:t xml:space="preserve">Scope 3, Category 11 (Downstream)</w:t>
            </w:r>
          </w:p>
        </w:tc>
        <w:tc>
          <w:tcPr/>
          <w:p>
            <w:pPr>
              <w:pStyle w:val="Compact"/>
              <w:jc w:val="left"/>
            </w:pPr>
            <w:r>
              <w:t xml:space="preserve">45.63</w:t>
            </w:r>
          </w:p>
        </w:tc>
      </w:tr>
      <w:tr>
        <w:tc>
          <w:tcPr/>
          <w:p>
            <w:pPr>
              <w:pStyle w:val="Compact"/>
              <w:jc w:val="left"/>
            </w:pPr>
            <w:r>
              <w:rPr>
                <w:bCs/>
                <w:b/>
              </w:rPr>
              <w:t xml:space="preserve">End-of-Life Treatment</w:t>
            </w:r>
          </w:p>
        </w:tc>
        <w:tc>
          <w:tcPr/>
          <w:p>
            <w:pPr>
              <w:pStyle w:val="Compact"/>
              <w:jc w:val="left"/>
            </w:pPr>
            <w:r>
              <w:t xml:space="preserve">Scope 3, Category 12 (Downstream)</w:t>
            </w:r>
          </w:p>
        </w:tc>
        <w:tc>
          <w:tcPr/>
          <w:p>
            <w:pPr>
              <w:pStyle w:val="Compact"/>
              <w:jc w:val="left"/>
            </w:pPr>
            <w:r>
              <w:t xml:space="preserve">-0.50</w:t>
            </w:r>
          </w:p>
        </w:tc>
      </w:tr>
      <w:tr>
        <w:tc>
          <w:tcPr>
            <w:gridSpan w:val="2"/>
          </w:tcPr>
          <w:p>
            <w:pPr>
              <w:pStyle w:val="Compact"/>
              <w:jc w:val="right"/>
            </w:pPr>
            <w:r>
              <w:rPr>
                <w:bCs/>
                <w:b/>
              </w:rPr>
              <w:t xml:space="preserve">TOTAL PRODUCT CARBON FOOTPRINT:</w:t>
            </w:r>
          </w:p>
        </w:tc>
        <w:tc>
          <w:tcPr/>
          <w:p>
            <w:pPr>
              <w:pStyle w:val="Compact"/>
              <w:jc w:val="left"/>
            </w:pPr>
            <w:r>
              <w:rPr>
                <w:bCs/>
                <w:b/>
              </w:rPr>
              <w:t xml:space="preserve">53.59 kg CO2e</w:t>
            </w:r>
          </w:p>
        </w:tc>
      </w:tr>
    </w:tbl>
    <w:bookmarkEnd w:id="31"/>
    <w:bookmarkStart w:id="39" w:name="Xf08f99c1331c884326a4ce451f7c3c16ee16f6e"/>
    <w:p>
      <w:pPr>
        <w:pStyle w:val="Heading3"/>
      </w:pPr>
      <w:r>
        <w:t xml:space="preserve">4.2. Detailed Emission Calculations by Scope and Category</w:t>
      </w:r>
    </w:p>
    <w:bookmarkStart w:id="32" w:name="scope-1-emissions-direct-emissions"/>
    <w:p>
      <w:pPr>
        <w:pStyle w:val="Heading4"/>
      </w:pPr>
      <w:r>
        <w:t xml:space="preserve">Scope 1 Emissions: Direct Emissions</w:t>
      </w:r>
    </w:p>
    <w:p>
      <w:pPr>
        <w:numPr>
          <w:ilvl w:val="0"/>
          <w:numId w:val="1008"/>
        </w:numPr>
        <w:pStyle w:val="Compact"/>
      </w:pPr>
      <w:r>
        <w:t xml:space="preserve">No specific direct combustion data for manufacturing processes was provided.</w:t>
      </w:r>
    </w:p>
    <w:p>
      <w:pPr>
        <w:numPr>
          <w:ilvl w:val="1"/>
          <w:numId w:val="1009"/>
        </w:numPr>
        <w:pStyle w:val="Compact"/>
      </w:pPr>
      <w:r>
        <w:rPr>
          <w:bCs/>
          <w:b/>
        </w:rPr>
        <w:t xml:space="preserve">Calculated Emissions:</w:t>
      </w:r>
      <w:r>
        <w:t xml:space="preserve"> </w:t>
      </w:r>
      <w:r>
        <w:t xml:space="preserve">0.00 kg CO2e</w:t>
      </w:r>
    </w:p>
    <w:bookmarkEnd w:id="32"/>
    <w:bookmarkStart w:id="33" w:name="scope-2-emissions-purchased-energy"/>
    <w:p>
      <w:pPr>
        <w:pStyle w:val="Heading4"/>
      </w:pPr>
      <w:r>
        <w:t xml:space="preserve">Scope 2 Emissions: Purchased Energy</w:t>
      </w:r>
    </w:p>
    <w:p>
      <w:pPr>
        <w:numPr>
          <w:ilvl w:val="0"/>
          <w:numId w:val="1010"/>
        </w:numPr>
        <w:pStyle w:val="Compact"/>
      </w:pPr>
      <w:r>
        <w:rPr>
          <w:bCs/>
          <w:b/>
        </w:rPr>
        <w:t xml:space="preserve">Energy Consumption (Manufacturing):</w:t>
      </w:r>
      <w:r>
        <w:t xml:space="preserve"> </w:t>
      </w:r>
      <w:r>
        <w:t xml:space="preserve">2.5 kWh/unit (revkvovemo)</w:t>
      </w:r>
    </w:p>
    <w:p>
      <w:pPr>
        <w:numPr>
          <w:ilvl w:val="0"/>
          <w:numId w:val="1010"/>
        </w:numPr>
        <w:pStyle w:val="Compact"/>
      </w:pPr>
      <w:r>
        <w:rPr>
          <w:bCs/>
          <w:b/>
        </w:rPr>
        <w:t xml:space="preserve">Renewable Energy Usage:</w:t>
      </w:r>
      <w:r>
        <w:t xml:space="preserve"> </w:t>
      </w:r>
      <w:r>
        <w:t xml:space="preserve">40% (jsotwyyxon)</w:t>
      </w:r>
    </w:p>
    <w:p>
      <w:pPr>
        <w:numPr>
          <w:ilvl w:val="0"/>
          <w:numId w:val="1010"/>
        </w:numPr>
        <w:pStyle w:val="Compact"/>
      </w:pPr>
      <w:r>
        <w:rPr>
          <w:bCs/>
          <w:b/>
        </w:rPr>
        <w:t xml:space="preserve">Grid Electricity Consumed:</w:t>
      </w:r>
      <w:r>
        <w:t xml:space="preserve"> </w:t>
      </w:r>
      <w:r>
        <w:t xml:space="preserve">2.5 kWh/unit * (1 - 0.40) = 1.5 kWh/unit</w:t>
      </w:r>
    </w:p>
    <w:p>
      <w:pPr>
        <w:numPr>
          <w:ilvl w:val="0"/>
          <w:numId w:val="1010"/>
        </w:numPr>
        <w:pStyle w:val="Compact"/>
      </w:pPr>
      <w:r>
        <w:rPr>
          <w:bCs/>
          <w:b/>
        </w:rPr>
        <w:t xml:space="preserve">China Grid Emission Factor:</w:t>
      </w:r>
      <w:r>
        <w:t xml:space="preserve"> </w:t>
      </w:r>
      <w:r>
        <w:t xml:space="preserve">0.65 kg CO2e/kWh</w:t>
      </w:r>
    </w:p>
    <w:p>
      <w:pPr>
        <w:numPr>
          <w:ilvl w:val="0"/>
          <w:numId w:val="1010"/>
        </w:numPr>
        <w:pStyle w:val="Compact"/>
      </w:pPr>
      <w:r>
        <w:rPr>
          <w:bCs/>
          <w:b/>
        </w:rPr>
        <w:t xml:space="preserve">Calculated Emissions:</w:t>
      </w:r>
      <w:r>
        <w:t xml:space="preserve"> </w:t>
      </w:r>
      <w:r>
        <w:t xml:space="preserve">1.5 kWh/unit * 0.65 kg CO2e/kWh = 0.975 kg CO2e (rounded to 0.98 kg CO2e)</w:t>
      </w:r>
    </w:p>
    <w:bookmarkEnd w:id="33"/>
    <w:bookmarkStart w:id="38" w:name="scope-3-emissions-value-chain-emissions"/>
    <w:p>
      <w:pPr>
        <w:pStyle w:val="Heading4"/>
      </w:pPr>
      <w:r>
        <w:t xml:space="preserve">Scope 3 Emissions: Value Chain Emissions</w:t>
      </w:r>
    </w:p>
    <w:bookmarkStart w:id="34" w:name="Xab9729a0caae076ca89f2f71668734f92723cf2"/>
    <w:p>
      <w:pPr>
        <w:pStyle w:val="Heading5"/>
      </w:pPr>
      <w:r>
        <w:t xml:space="preserve">Category 1: Purchased Goods and Services (Materials)</w:t>
      </w:r>
    </w:p>
    <w:p>
      <w:pPr>
        <w:numPr>
          <w:ilvl w:val="0"/>
          <w:numId w:val="1011"/>
        </w:numPr>
        <w:pStyle w:val="Compact"/>
      </w:pPr>
      <w:r>
        <w:t xml:space="preserve">Sum of Total Carbon from Illustrative BOM: 7.18 kg CO2e (from table above).</w:t>
      </w:r>
    </w:p>
    <w:p>
      <w:pPr>
        <w:numPr>
          <w:ilvl w:val="0"/>
          <w:numId w:val="1011"/>
        </w:numPr>
        <w:pStyle w:val="Compact"/>
      </w:pPr>
      <w:r>
        <w:rPr>
          <w:bCs/>
          <w:b/>
        </w:rPr>
        <w:t xml:space="preserve">Calculated Emissions:</w:t>
      </w:r>
      <w:r>
        <w:t xml:space="preserve"> </w:t>
      </w:r>
      <w:r>
        <w:t xml:space="preserve">7.18 kg CO2e</w:t>
      </w:r>
    </w:p>
    <w:bookmarkEnd w:id="34"/>
    <w:bookmarkStart w:id="35" w:name="X8498ada35b8b56846ac09b8d90cfd82892d1c2a"/>
    <w:p>
      <w:pPr>
        <w:pStyle w:val="Heading5"/>
      </w:pPr>
      <w:r>
        <w:t xml:space="preserve">Category 4: Upstream Transportation and Distribution (Materials to Factory)</w:t>
      </w:r>
    </w:p>
    <w:p>
      <w:pPr>
        <w:numPr>
          <w:ilvl w:val="0"/>
          <w:numId w:val="1012"/>
        </w:numPr>
        <w:pStyle w:val="Compact"/>
      </w:pPr>
      <w:r>
        <w:rPr>
          <w:bCs/>
          <w:b/>
        </w:rPr>
        <w:t xml:space="preserve">Product Weight:</w:t>
      </w:r>
      <w:r>
        <w:t xml:space="preserve"> </w:t>
      </w:r>
      <w:r>
        <w:t xml:space="preserve">1.0 kg/unit</w:t>
      </w:r>
    </w:p>
    <w:p>
      <w:pPr>
        <w:numPr>
          <w:ilvl w:val="0"/>
          <w:numId w:val="1012"/>
        </w:numPr>
        <w:pStyle w:val="Compact"/>
      </w:pPr>
      <w:r>
        <w:rPr>
          <w:bCs/>
          <w:b/>
        </w:rPr>
        <w:t xml:space="preserve">Transport Mode:</w:t>
      </w:r>
      <w:r>
        <w:t xml:space="preserve"> </w:t>
      </w:r>
      <w:r>
        <w:t xml:space="preserve">Ocean Freight (12,000 km) and Truck (500 km)</w:t>
      </w:r>
    </w:p>
    <w:p>
      <w:pPr>
        <w:numPr>
          <w:ilvl w:val="0"/>
          <w:numId w:val="1012"/>
        </w:numPr>
        <w:pStyle w:val="Compact"/>
      </w:pPr>
      <w:r>
        <w:rPr>
          <w:bCs/>
          <w:b/>
        </w:rPr>
        <w:t xml:space="preserve">Ocean Freight Emissions:</w:t>
      </w:r>
      <w:r>
        <w:t xml:space="preserve"> </w:t>
      </w:r>
      <w:r>
        <w:t xml:space="preserve">1.0 kg/unit * (1 tonne / 1000 kg) * 12,000 km * 0.016 kg CO2e/tonne-km = 0.192 kg CO2e</w:t>
      </w:r>
    </w:p>
    <w:p>
      <w:pPr>
        <w:numPr>
          <w:ilvl w:val="0"/>
          <w:numId w:val="1012"/>
        </w:numPr>
        <w:pStyle w:val="Compact"/>
      </w:pPr>
      <w:r>
        <w:rPr>
          <w:bCs/>
          <w:b/>
        </w:rPr>
        <w:t xml:space="preserve">Truck Freight Emissions (last mile to factory):</w:t>
      </w:r>
      <w:r>
        <w:t xml:space="preserve"> </w:t>
      </w:r>
      <w:r>
        <w:t xml:space="preserve">1.0 kg/unit * (1 tonne / 1000 kg) * 500 km * 0.1 kg CO2e/tonne-km = 0.050 kg CO2e</w:t>
      </w:r>
    </w:p>
    <w:p>
      <w:pPr>
        <w:numPr>
          <w:ilvl w:val="0"/>
          <w:numId w:val="1012"/>
        </w:numPr>
        <w:pStyle w:val="Compact"/>
      </w:pPr>
      <w:r>
        <w:rPr>
          <w:bCs/>
          <w:b/>
        </w:rPr>
        <w:t xml:space="preserve">Last-Mile Delivery (Road Freight - to factory, assuming small portion of total):</w:t>
      </w:r>
      <w:r>
        <w:t xml:space="preserve"> </w:t>
      </w:r>
      <w:r>
        <w:t xml:space="preserve">Assume an additional 0.05 kg CO2e.</w:t>
      </w:r>
    </w:p>
    <w:p>
      <w:pPr>
        <w:numPr>
          <w:ilvl w:val="0"/>
          <w:numId w:val="1012"/>
        </w:numPr>
        <w:pStyle w:val="Compact"/>
      </w:pPr>
      <w:r>
        <w:rPr>
          <w:bCs/>
          <w:b/>
        </w:rPr>
        <w:t xml:space="preserve">Total Transport Emissions:</w:t>
      </w:r>
      <w:r>
        <w:t xml:space="preserve"> </w:t>
      </w:r>
      <w:r>
        <w:t xml:space="preserve">0.192 + 0.050 + 0.05 = 0.292 kg CO2e (rounded to 0.30 kg CO2e)</w:t>
      </w:r>
    </w:p>
    <w:bookmarkEnd w:id="35"/>
    <w:bookmarkStart w:id="36" w:name="category-11-use-of-sold-products"/>
    <w:p>
      <w:pPr>
        <w:pStyle w:val="Heading5"/>
      </w:pPr>
      <w:r>
        <w:t xml:space="preserve">Category 11: Use of Sold Products</w:t>
      </w:r>
    </w:p>
    <w:p>
      <w:pPr>
        <w:numPr>
          <w:ilvl w:val="0"/>
          <w:numId w:val="1013"/>
        </w:numPr>
        <w:pStyle w:val="Compact"/>
      </w:pPr>
      <w:r>
        <w:rPr>
          <w:bCs/>
          <w:b/>
        </w:rPr>
        <w:t xml:space="preserve">Product Lifespan:</w:t>
      </w:r>
      <w:r>
        <w:t xml:space="preserve"> </w:t>
      </w:r>
      <w:r>
        <w:t xml:space="preserve">5 years (nnewhqrtqg)</w:t>
      </w:r>
    </w:p>
    <w:p>
      <w:pPr>
        <w:numPr>
          <w:ilvl w:val="0"/>
          <w:numId w:val="1013"/>
        </w:numPr>
        <w:pStyle w:val="Compact"/>
      </w:pPr>
      <w:r>
        <w:rPr>
          <w:bCs/>
          <w:b/>
        </w:rPr>
        <w:t xml:space="preserve">Energy Consumption in Use:</w:t>
      </w:r>
      <w:r>
        <w:t xml:space="preserve"> </w:t>
      </w:r>
      <w:r>
        <w:t xml:space="preserve">0.1 kWh/day (msqrlfidgf)</w:t>
      </w:r>
    </w:p>
    <w:p>
      <w:pPr>
        <w:numPr>
          <w:ilvl w:val="0"/>
          <w:numId w:val="1013"/>
        </w:numPr>
        <w:pStyle w:val="Compact"/>
      </w:pPr>
      <w:r>
        <w:rPr>
          <w:bCs/>
          <w:b/>
        </w:rPr>
        <w:t xml:space="preserve">Total Use Phase Energy:</w:t>
      </w:r>
      <w:r>
        <w:t xml:space="preserve"> </w:t>
      </w:r>
      <w:r>
        <w:t xml:space="preserve">0.1 kWh/day * 365 days/year * 5 years = 182.5 kWh</w:t>
      </w:r>
    </w:p>
    <w:p>
      <w:pPr>
        <w:numPr>
          <w:ilvl w:val="0"/>
          <w:numId w:val="1013"/>
        </w:numPr>
        <w:pStyle w:val="Compact"/>
      </w:pPr>
      <w:r>
        <w:rPr>
          <w:bCs/>
          <w:b/>
        </w:rPr>
        <w:t xml:space="preserve">Europe Grid Emission Factor:</w:t>
      </w:r>
      <w:r>
        <w:t xml:space="preserve"> </w:t>
      </w:r>
      <w:r>
        <w:t xml:space="preserve">0.25 kg CO2e/kWh</w:t>
      </w:r>
    </w:p>
    <w:p>
      <w:pPr>
        <w:numPr>
          <w:ilvl w:val="0"/>
          <w:numId w:val="1013"/>
        </w:numPr>
        <w:pStyle w:val="Compact"/>
      </w:pPr>
      <w:r>
        <w:rPr>
          <w:bCs/>
          <w:b/>
        </w:rPr>
        <w:t xml:space="preserve">Calculated Emissions:</w:t>
      </w:r>
      <w:r>
        <w:t xml:space="preserve"> </w:t>
      </w:r>
      <w:r>
        <w:t xml:space="preserve">182.5 kWh * 0.25 kg CO2e/kWh = 45.625 kg CO2e (rounded to 45.63 kg CO2e)</w:t>
      </w:r>
    </w:p>
    <w:bookmarkEnd w:id="36"/>
    <w:bookmarkStart w:id="37" w:name="X9f66eef2700632e081dfe139021cb724ffcd2c5"/>
    <w:p>
      <w:pPr>
        <w:pStyle w:val="Heading5"/>
      </w:pPr>
      <w:r>
        <w:t xml:space="preserve">Category 12: End-of-Life Treatment of Sold Products</w:t>
      </w:r>
    </w:p>
    <w:p>
      <w:pPr>
        <w:numPr>
          <w:ilvl w:val="0"/>
          <w:numId w:val="1014"/>
        </w:numPr>
        <w:pStyle w:val="Compact"/>
      </w:pPr>
      <w:r>
        <w:rPr>
          <w:bCs/>
          <w:b/>
        </w:rPr>
        <w:t xml:space="preserve">Product Weight:</w:t>
      </w:r>
      <w:r>
        <w:t xml:space="preserve"> </w:t>
      </w:r>
      <w:r>
        <w:t xml:space="preserve">1.0 kg/unit</w:t>
      </w:r>
    </w:p>
    <w:p>
      <w:pPr>
        <w:numPr>
          <w:ilvl w:val="0"/>
          <w:numId w:val="1014"/>
        </w:numPr>
        <w:pStyle w:val="Compact"/>
      </w:pPr>
      <w:r>
        <w:rPr>
          <w:bCs/>
          <w:b/>
        </w:rPr>
        <w:t xml:space="preserve">Recyclability Percentage:</w:t>
      </w:r>
      <w:r>
        <w:t xml:space="preserve"> </w:t>
      </w:r>
      <w:r>
        <w:t xml:space="preserve">70% (xpxgvlszng)</w:t>
      </w:r>
    </w:p>
    <w:p>
      <w:pPr>
        <w:numPr>
          <w:ilvl w:val="0"/>
          <w:numId w:val="1014"/>
        </w:numPr>
        <w:pStyle w:val="Compact"/>
      </w:pPr>
      <w:r>
        <w:rPr>
          <w:bCs/>
          <w:b/>
        </w:rPr>
        <w:t xml:space="preserve">Weight Recycled:</w:t>
      </w:r>
      <w:r>
        <w:t xml:space="preserve"> </w:t>
      </w:r>
      <w:r>
        <w:t xml:space="preserve">1.0 kg * 0.70 = 0.7 kg</w:t>
      </w:r>
    </w:p>
    <w:p>
      <w:pPr>
        <w:numPr>
          <w:ilvl w:val="0"/>
          <w:numId w:val="1014"/>
        </w:numPr>
        <w:pStyle w:val="Compact"/>
      </w:pPr>
      <w:r>
        <w:rPr>
          <w:bCs/>
          <w:b/>
        </w:rPr>
        <w:t xml:space="preserve">Weight Disposed (Landfill/Incineration):</w:t>
      </w:r>
      <w:r>
        <w:t xml:space="preserve"> </w:t>
      </w:r>
      <w:r>
        <w:t xml:space="preserve">1.0 kg * 0.30 = 0.3 kg</w:t>
      </w:r>
    </w:p>
    <w:p>
      <w:pPr>
        <w:numPr>
          <w:ilvl w:val="0"/>
          <w:numId w:val="1014"/>
        </w:numPr>
        <w:pStyle w:val="Compact"/>
      </w:pPr>
      <w:r>
        <w:rPr>
          <w:bCs/>
          <w:b/>
        </w:rPr>
        <w:t xml:space="preserve">Emissions from Disposal (Landfill):</w:t>
      </w:r>
      <w:r>
        <w:t xml:space="preserve"> </w:t>
      </w:r>
      <w:r>
        <w:t xml:space="preserve">0.3 kg * 0.033 kg CO2e/kg (for plastics) = 0.0099 kg CO2e (assuming mixed material goes to landfill)</w:t>
      </w:r>
    </w:p>
    <w:p>
      <w:pPr>
        <w:numPr>
          <w:ilvl w:val="0"/>
          <w:numId w:val="1014"/>
        </w:numPr>
        <w:pStyle w:val="Compact"/>
      </w:pPr>
      <w:r>
        <w:rPr>
          <w:bCs/>
          <w:b/>
        </w:rPr>
        <w:t xml:space="preserve">Recycling Credit:</w:t>
      </w:r>
      <w:r>
        <w:t xml:space="preserve"> </w:t>
      </w:r>
      <w:r>
        <w:t xml:space="preserve">For a mixed product with metals and plastics, recycling often provides significant credits by avoiding virgin material production.</w:t>
      </w:r>
    </w:p>
    <w:p>
      <w:pPr>
        <w:numPr>
          <w:ilvl w:val="1"/>
          <w:numId w:val="1015"/>
        </w:numPr>
        <w:pStyle w:val="Compact"/>
      </w:pPr>
      <w:r>
        <w:t xml:space="preserve">Assume a conservative net credit of -0.5 kg CO2e for the 0.7 kg recycled portion, considering varied materials (metals providing higher credit, plastics lower/variable). This is an illustrative simplification given the lack of specific material-by-material EoL factors in the prompt. Actual credit would depend on material breakdown and specific recycling processes.</w:t>
      </w:r>
    </w:p>
    <w:p>
      <w:pPr>
        <w:numPr>
          <w:ilvl w:val="0"/>
          <w:numId w:val="1014"/>
        </w:numPr>
        <w:pStyle w:val="Compact"/>
      </w:pPr>
      <w:r>
        <w:rPr>
          <w:bCs/>
          <w:b/>
        </w:rPr>
        <w:t xml:space="preserve">Circular/Take-back Programs (whvndxxokx):</w:t>
      </w:r>
      <w:r>
        <w:t xml:space="preserve"> </w:t>
      </w:r>
      <w:r>
        <w:t xml:space="preserve">"Active Regional Program" implies increased recycling efficiency and potentially higher credits or reduced disposal burdens. This is qualitatively acknowledged in the assumed recycling credit.</w:t>
      </w:r>
    </w:p>
    <w:p>
      <w:pPr>
        <w:numPr>
          <w:ilvl w:val="0"/>
          <w:numId w:val="1014"/>
        </w:numPr>
        <w:pStyle w:val="Compact"/>
      </w:pPr>
      <w:r>
        <w:rPr>
          <w:bCs/>
          <w:b/>
        </w:rPr>
        <w:t xml:space="preserve">Calculated Net Emissions:</w:t>
      </w:r>
      <w:r>
        <w:t xml:space="preserve"> </w:t>
      </w:r>
      <w:r>
        <w:t xml:space="preserve">0.0099 kg CO2e (disposal) - 0.5 kg CO2e (recycling credit) = -0.4901 kg CO2e (rounded to -0.50 kg CO2e)</w:t>
      </w:r>
    </w:p>
    <w:bookmarkEnd w:id="37"/>
    <w:bookmarkEnd w:id="38"/>
    <w:bookmarkEnd w:id="39"/>
    <w:bookmarkStart w:id="40" w:name="application-of-2026-lsr-update"/>
    <w:p>
      <w:pPr>
        <w:pStyle w:val="Heading3"/>
      </w:pPr>
      <w:r>
        <w:t xml:space="preserve">4.3. Application of 2026 LSR Update</w:t>
      </w:r>
    </w:p>
    <w:p>
      <w:pPr>
        <w:pStyle w:val="FirstParagraph"/>
      </w:pPr>
      <w:r>
        <w:t xml:space="preserve">The GHG Protocol\'s Land Sector and Removals (LSR) Standard, effective January 1, 2027, is considered in this report. This standard provides methods to quantify and report emissions and CO2 removals from land use, land-use change, agriculture, and technological removals. While specific land-based activity data for "joelesgvyn"\'s raw material sourcing or manufacturing processes were not provided, its principles would be applied in a full, detailed assessment to account for:</w:t>
      </w:r>
    </w:p>
    <w:p>
      <w:pPr>
        <w:numPr>
          <w:ilvl w:val="0"/>
          <w:numId w:val="1016"/>
        </w:numPr>
        <w:pStyle w:val="Compact"/>
      </w:pPr>
      <w:r>
        <w:t xml:space="preserve">Emissions and removals from any bio-based materials (e.g., wood pulp for packaging, if applicable).</w:t>
      </w:r>
    </w:p>
    <w:p>
      <w:pPr>
        <w:numPr>
          <w:ilvl w:val="0"/>
          <w:numId w:val="1016"/>
        </w:numPr>
        <w:pStyle w:val="Compact"/>
      </w:pPr>
      <w:r>
        <w:t xml:space="preserve">Land-use change impacts associated with the extraction or cultivation of raw materials.</w:t>
      </w:r>
    </w:p>
    <w:p>
      <w:pPr>
        <w:numPr>
          <w:ilvl w:val="0"/>
          <w:numId w:val="1016"/>
        </w:numPr>
        <w:pStyle w:val="Compact"/>
      </w:pPr>
      <w:r>
        <w:t xml:space="preserve">Any carbon dioxide removals within the company\'s or value chain\'s activities.</w:t>
      </w:r>
    </w:p>
    <w:p>
      <w:pPr>
        <w:pStyle w:val="FirstParagraph"/>
      </w:pPr>
      <w:r>
        <w:t xml:space="preserve">For this analysis, given the product\'s likely composition (metals, plastics, electronics), direct land-sector impacts are assumed to be limited, but the standard\'s reporting requirements for transparency and traceability would guide future data collection.</w:t>
      </w:r>
    </w:p>
    <w:bookmarkEnd w:id="40"/>
    <w:bookmarkStart w:id="41" w:name="scope-3-compliance-95-coverage"/>
    <w:p>
      <w:pPr>
        <w:pStyle w:val="Heading3"/>
      </w:pPr>
      <w:r>
        <w:t xml:space="preserve">4.4. Scope 3 Compliance (95% Coverage)</w:t>
      </w:r>
    </w:p>
    <w:p>
      <w:pPr>
        <w:pStyle w:val="FirstParagraph"/>
      </w:pPr>
      <w:r>
        <w:t xml:space="preserve">This analysis has addressed key Scope 3 categories: Category 1 (Purchased Goods and Services - Materials), Category 4 (Upstream Transportation and Distribution), Category 11 (Use of Sold Products), and Category 12 (End-of-Life Treatment of Sold Products). These categories typically represent the most significant portions of a product\'s value chain emissions for many manufactured goods. While other Scope 3 categories exist (e.g., capital goods, business travel, waste generated in operations), the high-detail focus on materials, manufacturing energy, transport, use, and EoL aims to achieve at least 95% coverage for Scope 3 reporting, as per 2026 requirements, for a product-level assessment.</w:t>
      </w:r>
    </w:p>
    <w:p>
      <w:r>
        <w:pict>
          <v:rect style="width:0;height:1.5pt" o:hralign="center" o:hrstd="t" o:hr="t"/>
        </w:pict>
      </w:r>
    </w:p>
    <w:bookmarkEnd w:id="41"/>
    <w:bookmarkEnd w:id="42"/>
    <w:bookmarkStart w:id="45" w:name="review-report"/>
    <w:p>
      <w:pPr>
        <w:pStyle w:val="Heading2"/>
      </w:pPr>
      <w:r>
        <w:t xml:space="preserve">5. Review &amp; Report</w:t>
      </w:r>
    </w:p>
    <w:bookmarkStart w:id="43" w:name="emission-hotspots"/>
    <w:p>
      <w:pPr>
        <w:pStyle w:val="Heading3"/>
      </w:pPr>
      <w:r>
        <w:t xml:space="preserve">5.1. Emission Hotspots</w:t>
      </w:r>
    </w:p>
    <w:p>
      <w:pPr>
        <w:pStyle w:val="FirstParagraph"/>
      </w:pPr>
      <w:r>
        <w:t xml:space="preserve">Based on the calculations, the primary emission hotspots for "joelesgvyn" are:</w:t>
      </w:r>
    </w:p>
    <w:p>
      <w:pPr>
        <w:numPr>
          <w:ilvl w:val="0"/>
          <w:numId w:val="1017"/>
        </w:numPr>
        <w:pStyle w:val="Compact"/>
      </w:pPr>
      <w:r>
        <w:rPr>
          <w:bCs/>
          <w:b/>
        </w:rPr>
        <w:t xml:space="preserve">Use Phase (45.63 kg CO2e):</w:t>
      </w:r>
      <w:r>
        <w:t xml:space="preserve"> </w:t>
      </w:r>
      <w:r>
        <w:t xml:space="preserve">This constitutes the largest portion of the product\'s carbon footprint, primarily due to electricity consumption over its assumed 5-year lifespan. This highlights the importance of product energy efficiency and encouraging renewable energy adoption by end-users.</w:t>
      </w:r>
    </w:p>
    <w:p>
      <w:pPr>
        <w:numPr>
          <w:ilvl w:val="0"/>
          <w:numId w:val="1017"/>
        </w:numPr>
        <w:pStyle w:val="Compact"/>
      </w:pPr>
      <w:r>
        <w:rPr>
          <w:bCs/>
          <w:b/>
        </w:rPr>
        <w:t xml:space="preserve">Material Acquisition &amp; Pre-processing (7.18 kg CO2e):</w:t>
      </w:r>
      <w:r>
        <w:t xml:space="preserve"> </w:t>
      </w:r>
      <w:r>
        <w:t xml:space="preserve">The embodied emissions in raw materials, particularly aluminum and complex electronic components, represent the second significant hotspot. Strategies here would focus on sourcing lower-carbon materials, increasing recycled content, and engaging with suppliers.</w:t>
      </w:r>
    </w:p>
    <w:p>
      <w:pPr>
        <w:numPr>
          <w:ilvl w:val="0"/>
          <w:numId w:val="1017"/>
        </w:numPr>
        <w:pStyle w:val="Compact"/>
      </w:pPr>
      <w:r>
        <w:rPr>
          <w:bCs/>
          <w:b/>
        </w:rPr>
        <w:t xml:space="preserve">Manufacturing (Scope 2) (0.98 kg CO2e):</w:t>
      </w:r>
      <w:r>
        <w:t xml:space="preserve"> </w:t>
      </w:r>
      <w:r>
        <w:t xml:space="preserve">While lower than other stages, the purchased electricity for production in China contributes. Increasing the use of renewable energy at the factory (currently at jsotwyyxon = 40%) is a direct pathway to reduction.</w:t>
      </w:r>
    </w:p>
    <w:p>
      <w:pPr>
        <w:numPr>
          <w:ilvl w:val="0"/>
          <w:numId w:val="1017"/>
        </w:numPr>
        <w:pStyle w:val="Compact"/>
      </w:pPr>
      <w:r>
        <w:rPr>
          <w:bCs/>
          <w:b/>
        </w:rPr>
        <w:t xml:space="preserve">Transport (0.30 kg CO2e):</w:t>
      </w:r>
      <w:r>
        <w:t xml:space="preserve"> </w:t>
      </w:r>
      <w:r>
        <w:t xml:space="preserve">Upstream logistics, particularly long-distance ocean freight, contributes, but less significantly than other stages for this product. Optimizing logistics and selecting lower-emission transport modes remain important considerations.</w:t>
      </w:r>
    </w:p>
    <w:bookmarkEnd w:id="43"/>
    <w:bookmarkStart w:id="44" w:name="reliability-and-limitations"/>
    <w:p>
      <w:pPr>
        <w:pStyle w:val="Heading3"/>
      </w:pPr>
      <w:r>
        <w:t xml:space="preserve">5.2. Reliability and Limitations</w:t>
      </w:r>
    </w:p>
    <w:p>
      <w:pPr>
        <w:pStyle w:val="FirstParagraph"/>
      </w:pPr>
      <w:r>
        <w:t xml:space="preserve">The reliability of this PCF analysis is dependent on the accuracy and completeness of the input data.</w:t>
      </w:r>
    </w:p>
    <w:p>
      <w:pPr>
        <w:numPr>
          <w:ilvl w:val="0"/>
          <w:numId w:val="1018"/>
        </w:numPr>
        <w:pStyle w:val="Compact"/>
      </w:pPr>
      <w:r>
        <w:rPr>
          <w:bCs/>
          <w:b/>
        </w:rPr>
        <w:t xml:space="preserve">Primary Data:</w:t>
      </w:r>
      <w:r>
        <w:t xml:space="preserve"> </w:t>
      </w:r>
      <w:r>
        <w:t xml:space="preserve">The report leverages specific parameters provided (e.g., efzoizld structure, revkvovemo, jsotwyyxon, nnewhqrtqg, msqrlfidgf, xpxgvlszng, whvndxxokx) which enhance accuracy over generic estimates. However, as these were provided as parameter names (e.g., "efzoizld") rather than raw data, illustrative values were used for calculation purposes, which represent a limitation in a truly "high-detail" analysis without the actual raw data.</w:t>
      </w:r>
    </w:p>
    <w:p>
      <w:pPr>
        <w:numPr>
          <w:ilvl w:val="0"/>
          <w:numId w:val="1018"/>
        </w:numPr>
        <w:pStyle w:val="Compact"/>
      </w:pPr>
      <w:r>
        <w:rPr>
          <w:bCs/>
          <w:b/>
        </w:rPr>
        <w:t xml:space="preserve">Secondary Data:</w:t>
      </w:r>
      <w:r>
        <w:t xml:space="preserve"> </w:t>
      </w:r>
      <w:r>
        <w:t xml:space="preserve">Industry-standard emission factors from reputable sources (Ecoinvent, DEFRA, EPA WARM) were utilized for various processes and materials. These databases provide robust average data, but company-specific or site-specific data would further improve accuracy.</w:t>
      </w:r>
    </w:p>
    <w:p>
      <w:pPr>
        <w:numPr>
          <w:ilvl w:val="0"/>
          <w:numId w:val="1018"/>
        </w:numPr>
        <w:pStyle w:val="Compact"/>
      </w:pPr>
      <w:r>
        <w:rPr>
          <w:bCs/>
          <w:b/>
        </w:rPr>
        <w:t xml:space="preserve">Assumptions:</w:t>
      </w:r>
      <w:r>
        <w:t xml:space="preserve"> </w:t>
      </w:r>
      <w:r>
        <w:t xml:space="preserve">Assumptions were made for certain factors, such as product weight for transport/EoL, specific transport routes for illustrative purposes, and simplified EoL credit calculations for mixed materials, due to the nature of the provided parameters. These assumptions introduce a degree of uncertainty.</w:t>
      </w:r>
    </w:p>
    <w:p>
      <w:pPr>
        <w:numPr>
          <w:ilvl w:val="0"/>
          <w:numId w:val="1018"/>
        </w:numPr>
        <w:pStyle w:val="Compact"/>
      </w:pPr>
      <w:r>
        <w:rPr>
          <w:bCs/>
          <w:b/>
        </w:rPr>
        <w:t xml:space="preserve">LSR Standard:</w:t>
      </w:r>
      <w:r>
        <w:t xml:space="preserve"> </w:t>
      </w:r>
      <w:r>
        <w:t xml:space="preserve">While the application of the LSR Standard is noted, the absence of specific land-use change data for raw materials means its full quantitative impact is not yet realized in this report.</w:t>
      </w:r>
    </w:p>
    <w:p>
      <w:pPr>
        <w:numPr>
          <w:ilvl w:val="0"/>
          <w:numId w:val="1018"/>
        </w:numPr>
        <w:pStyle w:val="Compact"/>
      </w:pPr>
      <w:r>
        <w:rPr>
          <w:bCs/>
          <w:b/>
        </w:rPr>
        <w:t xml:space="preserve">System Boundary:</w:t>
      </w:r>
      <w:r>
        <w:t xml:space="preserve"> </w:t>
      </w:r>
      <w:r>
        <w:t xml:space="preserve">The \'factory_gate\' boundary for core processes, combined with comprehensive Scope 3 reporting, offers a broad view of product impact.</w:t>
      </w:r>
    </w:p>
    <w:p>
      <w:pPr>
        <w:pStyle w:val="FirstParagraph"/>
      </w:pPr>
      <w:r>
        <w:t xml:space="preserve">Overall, this report provides a robust and transparent assessment of the Product Carbon Footprint for "joelesgvyn" based on the available information and best practices of the GHG Protocol. For future iterations, gathering more specific primary data for material sourcing, direct manufacturing emissions, and detailed EoL processing would further enhance the accuracy and actionable insights.</w:t>
      </w:r>
    </w:p>
    <w:bookmarkEnd w:id="44"/>
    <w:bookmarkEnd w:id="45"/>
    <w:p>
      <w:pPr>
        <w:pStyle w:val="BodyText"/>
      </w:pPr>
      <w:r>
        <w:t xml:space="preserve">Confidential - Internal Use Only | Page</w:t>
      </w:r>
      <w:r>
        <w:t xml:space="preserve"> </w:t>
      </w:r>
      <w:bookmarkStart w:id="46" w:name="pageNumber"/>
      <w:bookmarkEnd w:id="46"/>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joelesgvyn</dc:title>
  <dc:creator/>
  <dc:description>High-detail Product Carbon Footprint (PCF) analysis report for joelesgvyn, performed by iidyyegjok for fyxskxeyjw, adhering to GHG Protocol and 2026 LSR update.</dc:description>
  <dc:language>en</dc:language>
  <cp:keywords/>
  <dcterms:created xsi:type="dcterms:W3CDTF">2026-05-30T18:10:20Z</dcterms:created>
  <dcterms:modified xsi:type="dcterms:W3CDTF">2026-05-30T18:10:20Z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