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jnqneunopf</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jnqneunopf</w:t>
      </w:r>
    </w:p>
    <w:p>
      <w:pPr>
        <w:pStyle w:val="BodyText"/>
      </w:pPr>
      <w:r>
        <w:rPr>
          <w:bCs/>
          <w:b/>
        </w:rPr>
        <w:t xml:space="preserve">Company Name:</w:t>
      </w:r>
      <w:r>
        <w:t xml:space="preserve"> </w:t>
      </w:r>
      <w:r>
        <w:t xml:space="preserve">urvzojqgwm</w:t>
      </w:r>
    </w:p>
    <w:p>
      <w:pPr>
        <w:pStyle w:val="BodyText"/>
      </w:pPr>
      <w:r>
        <w:rPr>
          <w:bCs/>
          <w:b/>
        </w:rPr>
        <w:t xml:space="preserve">Senior Sustainability Consultant:</w:t>
      </w:r>
      <w:r>
        <w:t xml:space="preserve"> </w:t>
      </w:r>
      <w:r>
        <w:t xml:space="preserve">mrwoxzoomy</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industry standards, and specified parameters.</w:t>
      </w:r>
      <w:r>
        <w:rPr>
          <w:iCs/>
          <w:i/>
        </w:rPr>
        <w:t xml:space="preserve"> </w:t>
      </w:r>
      <w:r>
        <w:rPr>
          <w:iCs/>
          <w:i/>
        </w:rPr>
        <w:t xml:space="preserve">Where specific data was indicated as a placeholder, reasonable industry averages or illustrative examples have been used to demonstrate methodology.</w:t>
      </w:r>
      <w:r>
        <w:rPr>
          <w:iCs/>
          <w:i/>
        </w:rPr>
        <w:t xml:space="preserve"> </w:t>
      </w:r>
      <w:r>
        <w:rPr>
          <w:iCs/>
          <w:i/>
        </w:rPr>
        <w:t xml:space="preserve">Actual calculations would require precise primary data for each parameter.</w:t>
      </w:r>
    </w:p>
    <w:bookmarkEnd w:id="20"/>
    <w:bookmarkStart w:id="46" w:name="X681bf27a95a10ea46c2f2d645483f370ec525f2"/>
    <w:p>
      <w:pPr>
        <w:pStyle w:val="Heading1"/>
      </w:pPr>
      <w:r>
        <w:t xml:space="preserve">Product Carbon Footprint (PCF) Analysis Report for jnqneunopf</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 the product</w:t>
      </w:r>
      <w:r>
        <w:t xml:space="preserve"> </w:t>
      </w:r>
      <w:r>
        <w:rPr>
          <w:bCs/>
          <w:b/>
        </w:rPr>
        <w:t xml:space="preserve">jnqneunopf</w:t>
      </w:r>
      <w:r>
        <w:t xml:space="preserve">, manufactured by</w:t>
      </w:r>
      <w:r>
        <w:t xml:space="preserve"> </w:t>
      </w:r>
      <w:r>
        <w:rPr>
          <w:bCs/>
          <w:b/>
        </w:rPr>
        <w:t xml:space="preserve">urvzojqgwm</w:t>
      </w:r>
      <w:r>
        <w:t xml:space="preserve">.</w:t>
      </w:r>
      <w:r>
        <w:t xml:space="preserve"> </w:t>
      </w:r>
      <w:r>
        <w:t xml:space="preserve">The analysis was conducted by</w:t>
      </w:r>
      <w:r>
        <w:t xml:space="preserve"> </w:t>
      </w:r>
      <w:r>
        <w:rPr>
          <w:bCs/>
          <w:b/>
        </w:rPr>
        <w:t xml:space="preserve">mrwoxzoomy</w:t>
      </w:r>
      <w:r>
        <w:t xml:space="preserve">, a Senior Sustainability Consultant, adhering strictly to the GHG Protocol accounting standard,</w:t>
      </w:r>
      <w:r>
        <w:t xml:space="preserve"> </w:t>
      </w:r>
      <w:r>
        <w:t xml:space="preserve">including the 2026 Land Sector and Removals (LSR) Standard update and ensuring over 95% Scope 3 coverage.</w:t>
      </w:r>
      <w:r>
        <w:t xml:space="preserve"> </w:t>
      </w:r>
      <w:r>
        <w:t xml:space="preserve">The primary objective is to quantify the greenhouse gas (GHG) emissions associated with the product\'s lifecycle,</w:t>
      </w:r>
      <w:r>
        <w:t xml:space="preserve"> </w:t>
      </w:r>
      <w:r>
        <w:t xml:space="preserve">from raw material extraction to end-of-life, to identify key emission hotspots and inform sustainability strategies.</w:t>
      </w:r>
      <w:r>
        <w:t xml:space="preserve"> </w:t>
      </w:r>
      <w:r>
        <w:t xml:space="preserve">This analysis utilizes a factory-gate system boundary with a supply chain focus on Europe and final production in China,</w:t>
      </w:r>
      <w:r>
        <w:t xml:space="preserve"> </w:t>
      </w:r>
      <w:r>
        <w:t xml:space="preserve">and leverages specific product and process data where provided, along with industry averages for illustrative calculations of placeholder values.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initial phase of the PCF analysis involved clearly defining the scope, ensuring all relevant emissions sources were considered.</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jnqneunopf. This represents the quantified performance of the product for which GHG emissions are calculated.</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encompasses all emissions from raw material acquisition, material processing, manufacturing, and transport up to the point the finished product leaves the production facility. For a comprehensive view, this report also extends the analysis to include the use phase and end-of-life scenarios, which fall under Scope 3.</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primary supply chain focus on</w:t>
      </w:r>
      <w:r>
        <w:t xml:space="preserve"> </w:t>
      </w:r>
      <w:r>
        <w:rPr>
          <w:bCs/>
          <w:b/>
        </w:rPr>
        <w:t xml:space="preserve">Europe</w:t>
      </w:r>
      <w:r>
        <w:t xml:space="preserve">. This geographic context influences the selection of region-specific emission factors for electricity grids and transportation.</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categorizing emissions into Scope 1 (direct emissions), Scope 2 (indirect emissions from purchased energy), and Scope 3 (all other indirect emissions in the value chain). Furthermore, the</w:t>
      </w:r>
      <w:r>
        <w:t xml:space="preserve"> </w:t>
      </w:r>
      <w:r>
        <w:rPr>
          <w:bCs/>
          <w:b/>
        </w:rPr>
        <w:t xml:space="preserve">2026 Land Sector and Removals (LSR) Standard</w:t>
      </w:r>
      <w:r>
        <w:t xml:space="preserve"> </w:t>
      </w:r>
      <w:r>
        <w:t xml:space="preserve">is applied for addressing land use and carbon removals.</w:t>
      </w:r>
    </w:p>
    <w:p>
      <w:pPr>
        <w:numPr>
          <w:ilvl w:val="0"/>
          <w:numId w:val="1001"/>
        </w:numPr>
        <w:pStyle w:val="Compact"/>
      </w:pPr>
      <w:r>
        <w:rPr>
          <w:bCs/>
          <w:b/>
        </w:rPr>
        <w:t xml:space="preserve">Allocation:</w:t>
      </w:r>
      <w:r>
        <w:t xml:space="preserve"> </w:t>
      </w:r>
      <w:r>
        <w:t xml:space="preserve">Where co-production or recycling processes occur, mass-based allocation methods are prioritized to distribute environmental burdens fairly across products, consistent with GHG Protocol guidance.</w:t>
      </w:r>
    </w:p>
    <w:p>
      <w:r>
        <w:pict>
          <v:rect style="width:0;height:1.5pt" o:hralign="center" o:hrstd="t" o:hr="t"/>
        </w:pict>
      </w:r>
    </w:p>
    <w:bookmarkEnd w:id="22"/>
    <w:bookmarkStart w:id="29" w:name="X4ff5528944b40b0473009b5195bc62c89e5d36e"/>
    <w:p>
      <w:pPr>
        <w:pStyle w:val="Heading2"/>
      </w:pPr>
      <w:r>
        <w:t xml:space="preserve">2. Lifecycle Mapping and Inventory (LCI) Stages</w:t>
      </w:r>
    </w:p>
    <w:p>
      <w:pPr>
        <w:pStyle w:val="FirstParagraph"/>
      </w:pPr>
      <w:r>
        <w:t xml:space="preserve">The lifecycle of jnqneunopf has been mapped to identify all stages contributing to its carbon footprint.</w:t>
      </w:r>
      <w:r>
        <w:t xml:space="preserve"> </w:t>
      </w:r>
      <w:r>
        <w:t xml:space="preserve">This includes raw material acquisition, manufacturing, transportation, product use, and end-of-life.</w:t>
      </w:r>
    </w:p>
    <w:bookmarkStart w:id="24" w:name="X1b0368d9fa279ce5f642e6e7a88ce573ab93153"/>
    <w:p>
      <w:pPr>
        <w:pStyle w:val="Heading3"/>
      </w:pPr>
      <w:r>
        <w:t xml:space="preserve">2.1. Raw Material Acquisition &amp; Processing (Scope 3 - Upstream)</w:t>
      </w:r>
    </w:p>
    <w:p>
      <w:pPr>
        <w:pStyle w:val="FirstParagraph"/>
      </w:pPr>
      <w:r>
        <w:t xml:space="preserve">The Detailed Bill of Materials (BOM) for `zedhzsyd` was provided as a placeholder for specific material data.</w:t>
      </w:r>
      <w:r>
        <w:t xml:space="preserve"> </w:t>
      </w:r>
      <w:r>
        <w:t xml:space="preserve">For the purpose of this analysis, a hypothetical BOM representing a typical product of this nature has been utilized to demonstrate the calculation methodology and impact assessment.</w:t>
      </w:r>
      <w:r>
        <w:t xml:space="preserve"> </w:t>
      </w:r>
      <w:r>
        <w:t xml:space="preserve">The "Total Carbon" values provided in the hypothetical BOM are directly used as emissions for these material inputs.</w:t>
      </w:r>
    </w:p>
    <w:bookmarkStart w:id="23" w:name="Xf0259bb368a4902dbe32552aefdc16e154004ec"/>
    <w:p>
      <w:pPr>
        <w:pStyle w:val="Heading4"/>
      </w:pPr>
      <w:r>
        <w:t xml:space="preserve">Hypothetical Detailed Bill of Materials (BOM) for jnqneunopf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w:t>
            </w:r>
          </w:p>
        </w:tc>
      </w:tr>
    </w:tbl>
    <w:p>
      <w:pPr>
        <w:pStyle w:val="BodyText"/>
      </w:pPr>
      <w:r>
        <w:rPr>
          <w:bCs/>
          <w:b/>
        </w:rPr>
        <w:t xml:space="preserve">Total Material Emissions (Hypothetical):</w:t>
      </w:r>
      <w:r>
        <w:t xml:space="preserve"> </w:t>
      </w:r>
      <w:r>
        <w:t xml:space="preserve">3.72 kg CO2e</w:t>
      </w:r>
    </w:p>
    <w:bookmarkEnd w:id="23"/>
    <w:bookmarkEnd w:id="24"/>
    <w:bookmarkStart w:id="25" w:name="manufacturing-production-scope-1-2"/>
    <w:p>
      <w:pPr>
        <w:pStyle w:val="Heading3"/>
      </w:pPr>
      <w:r>
        <w:t xml:space="preserve">2.2. Manufacturing &amp; Production (Scope 1 &amp; 2)</w:t>
      </w:r>
    </w:p>
    <w:p>
      <w:pPr>
        <w:pStyle w:val="FirstParagraph"/>
      </w:pPr>
      <w:r>
        <w:t xml:space="preserve">This stage covers the energy consumption and direct emissions at the manufacturing facility in China.</w:t>
      </w:r>
    </w:p>
    <w:p>
      <w:pPr>
        <w:numPr>
          <w:ilvl w:val="0"/>
          <w:numId w:val="1002"/>
        </w:numPr>
        <w:pStyle w:val="Compact"/>
      </w:pPr>
      <w:r>
        <w:rPr>
          <w:bCs/>
          <w:b/>
        </w:rPr>
        <w:t xml:space="preserve">Energy Intensity (kWh/unit):</w:t>
      </w:r>
      <w:r>
        <w:t xml:space="preserve"> </w:t>
      </w:r>
      <w:r>
        <w:t xml:space="preserve">The provided parameter `vvjvxvqjpx` is a placeholder. For illustrative purposes, we assume an energy intensity of</w:t>
      </w:r>
      <w:r>
        <w:t xml:space="preserve"> </w:t>
      </w:r>
      <w:r>
        <w:rPr>
          <w:bCs/>
          <w:b/>
        </w:rPr>
        <w:t xml:space="preserve">5 kWh/unit</w:t>
      </w:r>
      <w:r>
        <w:t xml:space="preserve">.</w:t>
      </w:r>
    </w:p>
    <w:p>
      <w:pPr>
        <w:numPr>
          <w:ilvl w:val="0"/>
          <w:numId w:val="1002"/>
        </w:numPr>
        <w:pStyle w:val="Compact"/>
      </w:pPr>
      <w:r>
        <w:rPr>
          <w:bCs/>
          <w:b/>
        </w:rPr>
        <w:t xml:space="preserve">Renewable Energy Usage:</w:t>
      </w:r>
      <w:r>
        <w:t xml:space="preserve"> </w:t>
      </w:r>
      <w:r>
        <w:t xml:space="preserve">The provided parameter `xtiygfmvmh` is a placeholder. For illustrative purposes, we assume</w:t>
      </w:r>
      <w:r>
        <w:t xml:space="preserve"> </w:t>
      </w:r>
      <w:r>
        <w:rPr>
          <w:bCs/>
          <w:b/>
        </w:rPr>
        <w:t xml:space="preserve">50% renewable energy usage</w:t>
      </w:r>
      <w:r>
        <w:t xml:space="preserve"> </w:t>
      </w:r>
      <w:r>
        <w:t xml:space="preserve">at the production facility.</w:t>
      </w:r>
    </w:p>
    <w:p>
      <w:pPr>
        <w:numPr>
          <w:ilvl w:val="0"/>
          <w:numId w:val="1002"/>
        </w:numPr>
        <w:pStyle w:val="Compact"/>
      </w:pPr>
      <w:r>
        <w:rPr>
          <w:bCs/>
          <w:b/>
        </w:rPr>
        <w:t xml:space="preserve">Grid Emission Factor (China):</w:t>
      </w:r>
      <w:r>
        <w:t xml:space="preserve"> </w:t>
      </w:r>
      <w:r>
        <w:t xml:space="preserve">Based on IEA and Climatiq data referencing IEA\'s Life Cycle Upstream Emission Factors 2024, the average grid emission factor for China is approximately 0.6 kg CO2e/kWh.</w:t>
      </w:r>
    </w:p>
    <w:bookmarkEnd w:id="25"/>
    <w:bookmarkStart w:id="26" w:name="X6c1d0dd444a5ae78da69081d86d88d6b735ce7c"/>
    <w:p>
      <w:pPr>
        <w:pStyle w:val="Heading3"/>
      </w:pPr>
      <w:r>
        <w:t xml:space="preserve">2.3. Transportation &amp; Logistics (Scope 3 - Upstream &amp; Downstream)</w:t>
      </w:r>
    </w:p>
    <w:p>
      <w:pPr>
        <w:pStyle w:val="FirstParagraph"/>
      </w:pPr>
      <w:r>
        <w:t xml:space="preserve">Emissions from transporting raw materials to the factory, and finished goods to the point of sale.</w:t>
      </w:r>
    </w:p>
    <w:p>
      <w:pPr>
        <w:numPr>
          <w:ilvl w:val="0"/>
          <w:numId w:val="1003"/>
        </w:numPr>
        <w:pStyle w:val="Compact"/>
      </w:pPr>
      <w:r>
        <w:rPr>
          <w:bCs/>
          <w:b/>
        </w:rPr>
        <w:t xml:space="preserve">Supply Chain Focus: Europe Focused:</w:t>
      </w:r>
      <w:r>
        <w:t xml:space="preserve"> </w:t>
      </w:r>
      <w:r>
        <w:t xml:space="preserve">Assumes raw materials from Europe to China.</w:t>
      </w:r>
    </w:p>
    <w:p>
      <w:pPr>
        <w:numPr>
          <w:ilvl w:val="0"/>
          <w:numId w:val="1003"/>
        </w:numPr>
        <w:pStyle w:val="Compact"/>
      </w:pPr>
      <w:r>
        <w:rPr>
          <w:bCs/>
          <w:b/>
        </w:rPr>
        <w:t xml:space="preserve">Transport Mode (Raw Materials/Components):</w:t>
      </w:r>
      <w:r>
        <w:t xml:space="preserve"> </w:t>
      </w:r>
      <w:r>
        <w:t xml:space="preserve">The provided `Select Mode` is a placeholder. For illustrative purposes, we assume</w:t>
      </w:r>
      <w:r>
        <w:t xml:space="preserve"> </w:t>
      </w:r>
      <w:r>
        <w:rPr>
          <w:bCs/>
          <w:b/>
        </w:rPr>
        <w:t xml:space="preserve">Road (Heavy Goods Vehicle)</w:t>
      </w:r>
      <w:r>
        <w:t xml:space="preserve"> </w:t>
      </w:r>
      <w:r>
        <w:t xml:space="preserve">for European transport and</w:t>
      </w:r>
      <w:r>
        <w:t xml:space="preserve"> </w:t>
      </w:r>
      <w:r>
        <w:rPr>
          <w:bCs/>
          <w:b/>
        </w:rPr>
        <w:t xml:space="preserve">Ocean Freight</w:t>
      </w:r>
      <w:r>
        <w:t xml:space="preserve"> </w:t>
      </w:r>
      <w:r>
        <w:t xml:space="preserve">for intercontinental transport to China.</w:t>
      </w:r>
    </w:p>
    <w:p>
      <w:pPr>
        <w:numPr>
          <w:ilvl w:val="0"/>
          <w:numId w:val="1003"/>
        </w:numPr>
        <w:pStyle w:val="Compact"/>
      </w:pPr>
      <w:r>
        <w:rPr>
          <w:bCs/>
          <w:b/>
        </w:rPr>
        <w:t xml:space="preserve">Transport Distance (Raw Materials/Components):</w:t>
      </w:r>
      <w:r>
        <w:t xml:space="preserve"> </w:t>
      </w:r>
      <w:r>
        <w:t xml:space="preserve">The provided `yfhhrkqrvq` is a placeholder. For illustrative purposes, we assume:</w:t>
      </w:r>
    </w:p>
    <w:p>
      <w:pPr>
        <w:numPr>
          <w:ilvl w:val="1"/>
          <w:numId w:val="1004"/>
        </w:numPr>
        <w:pStyle w:val="Compact"/>
      </w:pPr>
      <w:r>
        <w:t xml:space="preserve">European Road Transport:</w:t>
      </w:r>
      <w:r>
        <w:t xml:space="preserve"> </w:t>
      </w:r>
      <w:r>
        <w:rPr>
          <w:bCs/>
          <w:b/>
        </w:rPr>
        <w:t xml:space="preserve">500 km</w:t>
      </w:r>
    </w:p>
    <w:p>
      <w:pPr>
        <w:numPr>
          <w:ilvl w:val="1"/>
          <w:numId w:val="1004"/>
        </w:numPr>
        <w:pStyle w:val="Compact"/>
      </w:pPr>
      <w:r>
        <w:t xml:space="preserve">Ocean Freight (Europe to China):</w:t>
      </w:r>
      <w:r>
        <w:t xml:space="preserve"> </w:t>
      </w:r>
      <w:r>
        <w:rPr>
          <w:bCs/>
          <w:b/>
        </w:rPr>
        <w:t xml:space="preserve">15,000 km</w:t>
      </w:r>
    </w:p>
    <w:p>
      <w:pPr>
        <w:numPr>
          <w:ilvl w:val="0"/>
          <w:numId w:val="1003"/>
        </w:numPr>
        <w:pStyle w:val="Compact"/>
      </w:pPr>
      <w:r>
        <w:rPr>
          <w:bCs/>
          <w:b/>
        </w:rPr>
        <w:t xml:space="preserve">Last-Mile Delivery Channel:</w:t>
      </w:r>
      <w:r>
        <w:t xml:space="preserve"> </w:t>
      </w:r>
      <w:r>
        <w:t xml:space="preserve">The provided `Delivery Type` is a placeholder. For illustrative purposes, we assume</w:t>
      </w:r>
      <w:r>
        <w:t xml:space="preserve"> </w:t>
      </w:r>
      <w:r>
        <w:rPr>
          <w:bCs/>
          <w:b/>
        </w:rPr>
        <w:t xml:space="preserve">Road (Light Commercial Vehicle/Van)</w:t>
      </w:r>
      <w:r>
        <w:t xml:space="preserve"> </w:t>
      </w:r>
      <w:r>
        <w:t xml:space="preserve">for last-mile delivery.</w:t>
      </w:r>
    </w:p>
    <w:p>
      <w:pPr>
        <w:numPr>
          <w:ilvl w:val="0"/>
          <w:numId w:val="1003"/>
        </w:numPr>
        <w:pStyle w:val="Compact"/>
      </w:pPr>
      <w:r>
        <w:rPr>
          <w:bCs/>
          <w:b/>
        </w:rPr>
        <w:t xml:space="preserve">Last-Mile Delivery Distance:</w:t>
      </w:r>
      <w:r>
        <w:t xml:space="preserve"> </w:t>
      </w:r>
      <w:r>
        <w:t xml:space="preserve">For illustrative purposes, we assume</w:t>
      </w:r>
      <w:r>
        <w:t xml:space="preserve"> </w:t>
      </w:r>
      <w:r>
        <w:rPr>
          <w:bCs/>
          <w:b/>
        </w:rPr>
        <w:t xml:space="preserve">100 km</w:t>
      </w:r>
      <w:r>
        <w:t xml:space="preserve"> </w:t>
      </w:r>
      <w:r>
        <w:t xml:space="preserve">for last-mile delivery to the customer.</w:t>
      </w:r>
    </w:p>
    <w:bookmarkEnd w:id="26"/>
    <w:bookmarkStart w:id="27" w:name="use-phase-scope-3---downstream"/>
    <w:p>
      <w:pPr>
        <w:pStyle w:val="Heading3"/>
      </w:pPr>
      <w:r>
        <w:t xml:space="preserve">2.4. Use Phase (Scope 3 - Downstream)</w:t>
      </w:r>
    </w:p>
    <w:p>
      <w:pPr>
        <w:pStyle w:val="FirstParagraph"/>
      </w:pPr>
      <w:r>
        <w:t xml:space="preserve">Emissions generated during the product\'s active use by the consumer.</w:t>
      </w:r>
    </w:p>
    <w:p>
      <w:pPr>
        <w:numPr>
          <w:ilvl w:val="0"/>
          <w:numId w:val="1005"/>
        </w:numPr>
        <w:pStyle w:val="Compact"/>
      </w:pPr>
      <w:r>
        <w:rPr>
          <w:bCs/>
          <w:b/>
        </w:rPr>
        <w:t xml:space="preserve">Product Lifespan:</w:t>
      </w:r>
      <w:r>
        <w:t xml:space="preserve"> </w:t>
      </w:r>
      <w:r>
        <w:t xml:space="preserve">The provided `nyduzytpvj` is a placeholder. For illustrative purposes, we assume a lifespan of</w:t>
      </w:r>
      <w:r>
        <w:t xml:space="preserve"> </w:t>
      </w:r>
      <w:r>
        <w:rPr>
          <w:bCs/>
          <w:b/>
        </w:rPr>
        <w:t xml:space="preserve">5 years</w:t>
      </w:r>
      <w:r>
        <w:t xml:space="preserve">.</w:t>
      </w:r>
    </w:p>
    <w:p>
      <w:pPr>
        <w:numPr>
          <w:ilvl w:val="0"/>
          <w:numId w:val="1005"/>
        </w:numPr>
        <w:pStyle w:val="Compact"/>
      </w:pPr>
      <w:r>
        <w:rPr>
          <w:bCs/>
          <w:b/>
        </w:rPr>
        <w:t xml:space="preserve">Energy Consumption in Use:</w:t>
      </w:r>
      <w:r>
        <w:t xml:space="preserve"> </w:t>
      </w:r>
      <w:r>
        <w:t xml:space="preserve">The provided `zeuxdjxuvt` is a placeholder. For illustrative purposes, we assume</w:t>
      </w:r>
      <w:r>
        <w:t xml:space="preserve"> </w:t>
      </w:r>
      <w:r>
        <w:rPr>
          <w:bCs/>
          <w:b/>
        </w:rPr>
        <w:t xml:space="preserve">10 kWh/year</w:t>
      </w:r>
      <w:r>
        <w:t xml:space="preserve">. This equates to 50 kWh over the product\'s lifespan.</w:t>
      </w:r>
    </w:p>
    <w:p>
      <w:pPr>
        <w:numPr>
          <w:ilvl w:val="0"/>
          <w:numId w:val="1005"/>
        </w:numPr>
        <w:pStyle w:val="Compact"/>
      </w:pPr>
      <w:r>
        <w:rPr>
          <w:bCs/>
          <w:b/>
        </w:rPr>
        <w:t xml:space="preserve">Electricity Source for Use Phase:</w:t>
      </w:r>
      <w:r>
        <w:t xml:space="preserve"> </w:t>
      </w:r>
      <w:r>
        <w:t xml:space="preserve">Assumed to be a mix of global grid averages for consumer use, approximately 0.4 kg CO2e/kWh, informed by databases like Ecoinvent.</w:t>
      </w:r>
    </w:p>
    <w:bookmarkEnd w:id="27"/>
    <w:bookmarkStart w:id="28" w:name="end-of-life-eol-scope-3---downstream"/>
    <w:p>
      <w:pPr>
        <w:pStyle w:val="Heading3"/>
      </w:pPr>
      <w:r>
        <w:t xml:space="preserve">2.5. End-of-Life (EoL) (Scope 3 - Downstream)</w:t>
      </w:r>
    </w:p>
    <w:p>
      <w:pPr>
        <w:pStyle w:val="FirstParagraph"/>
      </w:pPr>
      <w:r>
        <w:t xml:space="preserve">Emissions and potential avoided emissions at the end of the product\'s useful life.</w:t>
      </w:r>
    </w:p>
    <w:p>
      <w:pPr>
        <w:numPr>
          <w:ilvl w:val="0"/>
          <w:numId w:val="1006"/>
        </w:numPr>
        <w:pStyle w:val="Compact"/>
      </w:pPr>
      <w:r>
        <w:rPr>
          <w:bCs/>
          <w:b/>
        </w:rPr>
        <w:t xml:space="preserve">Recyclability Percentage:</w:t>
      </w:r>
      <w:r>
        <w:t xml:space="preserve"> </w:t>
      </w:r>
      <w:r>
        <w:t xml:space="preserve">The provided `nluzznjvkd` is a placeholder. For illustrative purposes, we assume</w:t>
      </w:r>
      <w:r>
        <w:t xml:space="preserve"> </w:t>
      </w:r>
      <w:r>
        <w:rPr>
          <w:bCs/>
          <w:b/>
        </w:rPr>
        <w:t xml:space="preserve">70% recyclability</w:t>
      </w:r>
      <w:r>
        <w:t xml:space="preserve">.</w:t>
      </w:r>
    </w:p>
    <w:p>
      <w:pPr>
        <w:numPr>
          <w:ilvl w:val="0"/>
          <w:numId w:val="1006"/>
        </w:numPr>
        <w:pStyle w:val="Compact"/>
      </w:pPr>
      <w:r>
        <w:rPr>
          <w:bCs/>
          <w:b/>
        </w:rPr>
        <w:t xml:space="preserve">Circular/Take-back Programs:</w:t>
      </w:r>
      <w:r>
        <w:t xml:space="preserve"> </w:t>
      </w:r>
      <w:r>
        <w:t xml:space="preserve">The provided `ljpmoipdjm` is a placeholder. We acknowledge the potential for avoided emissions through such programs but for this illustrative calculation, we will focus on the impact of recyclability.</w:t>
      </w:r>
    </w:p>
    <w:p>
      <w:pPr>
        <w:numPr>
          <w:ilvl w:val="0"/>
          <w:numId w:val="1006"/>
        </w:numPr>
        <w:pStyle w:val="Compact"/>
      </w:pPr>
      <w:r>
        <w:rPr>
          <w:bCs/>
          <w:b/>
        </w:rPr>
        <w:t xml:space="preserve">Disposal:</w:t>
      </w:r>
      <w:r>
        <w:t xml:space="preserve"> </w:t>
      </w:r>
      <w:r>
        <w:t xml:space="preserve">The remaining percentage (30% in our illustrative example) is assumed to go to landfill or incineration.</w:t>
      </w:r>
    </w:p>
    <w:p>
      <w:r>
        <w:pict>
          <v:rect style="width:0;height:1.5pt" o:hralign="center" o:hrstd="t" o:hr="t"/>
        </w:pict>
      </w:r>
    </w:p>
    <w:bookmarkEnd w:id="28"/>
    <w:bookmarkEnd w:id="29"/>
    <w:bookmarkStart w:id="30" w:name="X01a6f2215373ff75984ae406a4a39df3489b45e"/>
    <w:p>
      <w:pPr>
        <w:pStyle w:val="Heading2"/>
      </w:pPr>
      <w:r>
        <w:t xml:space="preserve">3. Data Collection (Primary &amp; Secondary Data Points)</w:t>
      </w:r>
    </w:p>
    <w:p>
      <w:pPr>
        <w:pStyle w:val="FirstParagraph"/>
      </w:pPr>
      <w:r>
        <w:t xml:space="preserve">Data for this PCF analysis was collected from various sources, prioritizing primary data where available and using robust secondary data for general emission factors.</w:t>
      </w:r>
    </w:p>
    <w:p>
      <w:pPr>
        <w:numPr>
          <w:ilvl w:val="0"/>
          <w:numId w:val="1007"/>
        </w:numPr>
        <w:pStyle w:val="Compact"/>
      </w:pPr>
      <w:r>
        <w:rPr>
          <w:bCs/>
          <w:b/>
        </w:rPr>
        <w:t xml:space="preserve">Primary Data (used illustratively where placeholders were given):</w:t>
      </w:r>
    </w:p>
    <w:p>
      <w:pPr>
        <w:numPr>
          <w:ilvl w:val="1"/>
          <w:numId w:val="1008"/>
        </w:numPr>
        <w:pStyle w:val="Compact"/>
      </w:pPr>
      <w:r>
        <w:t xml:space="preserve">Detailed Bill of Materials (BOM) for `zedhzsyd` (hypothetical data used).</w:t>
      </w:r>
    </w:p>
    <w:p>
      <w:pPr>
        <w:numPr>
          <w:ilvl w:val="2"/>
          <w:numId w:val="1009"/>
        </w:numPr>
        <w:pStyle w:val="Compact"/>
      </w:pPr>
      <w:r>
        <w:t xml:space="preserve">Material quantities (kg) and their pre-calculated "Total Carbon" (kg CO2e) were directly taken from the hypothetical BOM for material impact.</w:t>
      </w:r>
    </w:p>
    <w:p>
      <w:pPr>
        <w:numPr>
          <w:ilvl w:val="1"/>
          <w:numId w:val="1008"/>
        </w:numPr>
        <w:pStyle w:val="Compact"/>
      </w:pPr>
      <w:r>
        <w:t xml:space="preserve">Production Energy Intensity (illustrative 5 kWh/unit).</w:t>
      </w:r>
    </w:p>
    <w:p>
      <w:pPr>
        <w:numPr>
          <w:ilvl w:val="1"/>
          <w:numId w:val="1008"/>
        </w:numPr>
        <w:pStyle w:val="Compact"/>
      </w:pPr>
      <w:r>
        <w:t xml:space="preserve">Renewable Energy Usage (illustrative 50%).</w:t>
      </w:r>
    </w:p>
    <w:p>
      <w:pPr>
        <w:numPr>
          <w:ilvl w:val="1"/>
          <w:numId w:val="1008"/>
        </w:numPr>
        <w:pStyle w:val="Compact"/>
      </w:pPr>
      <w:r>
        <w:t xml:space="preserve">Product Lifespan (illustrative 5 years).</w:t>
      </w:r>
    </w:p>
    <w:p>
      <w:pPr>
        <w:numPr>
          <w:ilvl w:val="1"/>
          <w:numId w:val="1008"/>
        </w:numPr>
        <w:pStyle w:val="Compact"/>
      </w:pPr>
      <w:r>
        <w:t xml:space="preserve">Energy Consumption in Use (illustrative 10 kWh/year).</w:t>
      </w:r>
    </w:p>
    <w:p>
      <w:pPr>
        <w:numPr>
          <w:ilvl w:val="1"/>
          <w:numId w:val="1008"/>
        </w:numPr>
        <w:pStyle w:val="Compact"/>
      </w:pPr>
      <w:r>
        <w:t xml:space="preserve">Recyclability Percentage (illustrative 70%).</w:t>
      </w:r>
    </w:p>
    <w:p>
      <w:pPr>
        <w:numPr>
          <w:ilvl w:val="0"/>
          <w:numId w:val="1007"/>
        </w:numPr>
        <w:pStyle w:val="Compact"/>
      </w:pPr>
      <w:r>
        <w:rPr>
          <w:bCs/>
          <w:b/>
        </w:rPr>
        <w:t xml:space="preserve">Secondary Data (Illustrative Emission Factors):</w:t>
      </w:r>
    </w:p>
    <w:p>
      <w:pPr>
        <w:numPr>
          <w:ilvl w:val="1"/>
          <w:numId w:val="1010"/>
        </w:numPr>
        <w:pStyle w:val="Compact"/>
      </w:pPr>
      <w:r>
        <w:rPr>
          <w:bCs/>
          <w:b/>
        </w:rPr>
        <w:t xml:space="preserve">Material Production:</w:t>
      </w:r>
      <w:r>
        <w:t xml:space="preserve"> </w:t>
      </w:r>
      <w:r>
        <w:t xml:space="preserve">Emission factors for material production processes are embedded within the "Total Carbon" figures in the hypothetical BOM. If not provided, industry-standard databases like Ecoinvent or DEFRA would be used.</w:t>
      </w:r>
    </w:p>
    <w:p>
      <w:pPr>
        <w:numPr>
          <w:ilvl w:val="1"/>
          <w:numId w:val="1010"/>
        </w:numPr>
        <w:pStyle w:val="Compact"/>
      </w:pPr>
      <w:r>
        <w:rPr>
          <w:bCs/>
          <w:b/>
        </w:rPr>
        <w:t xml:space="preserve">Electricity:</w:t>
      </w:r>
    </w:p>
    <w:p>
      <w:pPr>
        <w:numPr>
          <w:ilvl w:val="2"/>
          <w:numId w:val="1011"/>
        </w:numPr>
        <w:pStyle w:val="Compact"/>
      </w:pPr>
      <w:r>
        <w:t xml:space="preserve">China Grid Mix: 0.6 kg CO2e/kWh (Source: IEA Life Cycle Upstream Emission Factors 2024 / Climatiq).</w:t>
      </w:r>
    </w:p>
    <w:p>
      <w:pPr>
        <w:numPr>
          <w:ilvl w:val="2"/>
          <w:numId w:val="1011"/>
        </w:numPr>
        <w:pStyle w:val="Compact"/>
      </w:pPr>
      <w:r>
        <w:t xml:space="preserve">Global Average Grid Mix (for Use Phase): 0.4 kg CO2e/kWh (Source: Ecoinvent/IEA equivalents).</w:t>
      </w:r>
    </w:p>
    <w:p>
      <w:pPr>
        <w:numPr>
          <w:ilvl w:val="1"/>
          <w:numId w:val="1010"/>
        </w:numPr>
        <w:pStyle w:val="Compact"/>
      </w:pPr>
      <w:r>
        <w:rPr>
          <w:bCs/>
          <w:b/>
        </w:rPr>
        <w:t xml:space="preserve">Transportation:</w:t>
      </w:r>
    </w:p>
    <w:p>
      <w:pPr>
        <w:numPr>
          <w:ilvl w:val="2"/>
          <w:numId w:val="1012"/>
        </w:numPr>
        <w:pStyle w:val="Compact"/>
      </w:pPr>
      <w:r>
        <w:t xml:space="preserve">Road Transport (Heavy Goods Vehicle, Europe): 0.0673 kg CO2e/tkm (Source: DEFRA 2024 equivalent, e.g., articulated HGV 100% laden).</w:t>
      </w:r>
    </w:p>
    <w:p>
      <w:pPr>
        <w:numPr>
          <w:ilvl w:val="2"/>
          <w:numId w:val="1012"/>
        </w:numPr>
        <w:pStyle w:val="Compact"/>
      </w:pPr>
      <w:r>
        <w:t xml:space="preserve">Ocean Freight (Container Ship): 0.005 kg CO2e/tkm (Source: DEFRA 2024 equivalent).</w:t>
      </w:r>
    </w:p>
    <w:p>
      <w:pPr>
        <w:numPr>
          <w:ilvl w:val="2"/>
          <w:numId w:val="1012"/>
        </w:numPr>
        <w:pStyle w:val="Compact"/>
      </w:pPr>
      <w:r>
        <w:t xml:space="preserve">Road Transport (Light Commercial Vehicle/Van): 0.15 kg CO2e/tkm (Source: DEFRA 2024 equivalent, illustrative average for shared last-mile).</w:t>
      </w:r>
    </w:p>
    <w:p>
      <w:pPr>
        <w:numPr>
          <w:ilvl w:val="1"/>
          <w:numId w:val="1010"/>
        </w:numPr>
        <w:pStyle w:val="Compact"/>
      </w:pPr>
      <w:r>
        <w:rPr>
          <w:bCs/>
          <w:b/>
        </w:rPr>
        <w:t xml:space="preserve">End-of-Life:</w:t>
      </w:r>
    </w:p>
    <w:p>
      <w:pPr>
        <w:numPr>
          <w:ilvl w:val="2"/>
          <w:numId w:val="1013"/>
        </w:numPr>
        <w:pStyle w:val="Compact"/>
      </w:pPr>
      <w:r>
        <w:t xml:space="preserve">Disposal (Landfill/Incineration): Generic factors based on material type (e.g., +3 kg CO2e/kg for mixed waste).</w:t>
      </w:r>
    </w:p>
    <w:p>
      <w:pPr>
        <w:numPr>
          <w:ilvl w:val="2"/>
          <w:numId w:val="1013"/>
        </w:numPr>
        <w:pStyle w:val="Compact"/>
      </w:pPr>
      <w:r>
        <w:t xml:space="preserve">Recycling Avoided Burden: Based on primary material production factors (e.g., assuming average avoided burden based on hypothetical BOM material mix).</w:t>
      </w:r>
    </w:p>
    <w:p>
      <w:r>
        <w:pict>
          <v:rect style="width:0;height:1.5pt" o:hralign="center" o:hrstd="t" o:hr="t"/>
        </w:pict>
      </w:r>
    </w:p>
    <w:bookmarkEnd w:id="30"/>
    <w:bookmarkStart w:id="41"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w:t>
      </w:r>
      <w:r>
        <w:t xml:space="preserve"> </w:t>
      </w:r>
      <w:r>
        <w:t xml:space="preserve">All calculations below use the illustrative data and assumptions outlined in Section 2 and 3.</w:t>
      </w:r>
    </w:p>
    <w:bookmarkStart w:id="33" w:name="scope-3-upstream-emissions"/>
    <w:p>
      <w:pPr>
        <w:pStyle w:val="Heading3"/>
      </w:pPr>
      <w:r>
        <w:t xml:space="preserve">4.1. Scope 3: Upstream Emissions</w:t>
      </w:r>
    </w:p>
    <w:bookmarkStart w:id="31" w:name="raw-material-acquisition-processing"/>
    <w:p>
      <w:pPr>
        <w:pStyle w:val="Heading4"/>
      </w:pPr>
      <w:r>
        <w:t xml:space="preserve">4.1.1. Raw Material Acquisition &amp; Processing</w:t>
      </w:r>
    </w:p>
    <w:p>
      <w:pPr>
        <w:pStyle w:val="FirstParagraph"/>
      </w:pPr>
      <w:r>
        <w:t xml:space="preserve">Based on the hypothetical BOM, the pre-calculated total carbon for material inputs is used directly.</w:t>
      </w:r>
    </w:p>
    <w:p>
      <w:pPr>
        <w:pStyle w:val="BodyText"/>
      </w:pPr>
      <w:r>
        <w:rPr>
          <w:bCs/>
          <w:b/>
        </w:rPr>
        <w:t xml:space="preserve">Total Material Emissions:</w:t>
      </w:r>
      <w:r>
        <w:t xml:space="preserve"> </w:t>
      </w:r>
      <w:r>
        <w:t xml:space="preserve">3.72 kg CO2e</w:t>
      </w:r>
    </w:p>
    <w:bookmarkEnd w:id="31"/>
    <w:bookmarkStart w:id="32" w:name="Xd8f7a3bb7e176f833d690eba5245f52b6ff436f"/>
    <w:p>
      <w:pPr>
        <w:pStyle w:val="Heading4"/>
      </w:pPr>
      <w:r>
        <w:t xml:space="preserve">4.1.2. Upstream Transportation (Raw Materials/Components to Factory)</w:t>
      </w:r>
    </w:p>
    <w:p>
      <w:pPr>
        <w:pStyle w:val="FirstParagraph"/>
      </w:pPr>
      <w:r>
        <w:t xml:space="preserve">Assuming average product weight of 0.5 kg (derived from hypothetical BOM quantities for illustrative transport calculation) for raw material transport.</w:t>
      </w:r>
    </w:p>
    <w:p>
      <w:pPr>
        <w:numPr>
          <w:ilvl w:val="0"/>
          <w:numId w:val="1014"/>
        </w:numPr>
        <w:pStyle w:val="Compact"/>
      </w:pPr>
      <w:r>
        <w:rPr>
          <w:bCs/>
          <w:b/>
        </w:rPr>
        <w:t xml:space="preserve">European Road Transport (e.g., component from Europe to port):</w:t>
      </w:r>
    </w:p>
    <w:p>
      <w:pPr>
        <w:numPr>
          <w:ilvl w:val="1"/>
          <w:numId w:val="1015"/>
        </w:numPr>
        <w:pStyle w:val="Compact"/>
      </w:pPr>
      <w:r>
        <w:t xml:space="preserve">Activity: 0.5 kg (product weight) * 500 km = 250 kg.km (0.25 tkm)</w:t>
      </w:r>
    </w:p>
    <w:p>
      <w:pPr>
        <w:numPr>
          <w:ilvl w:val="1"/>
          <w:numId w:val="1015"/>
        </w:numPr>
        <w:pStyle w:val="Compact"/>
      </w:pPr>
      <w:r>
        <w:t xml:space="preserve">Emission Factor: 0.0673 kg CO2e/tkm</w:t>
      </w:r>
    </w:p>
    <w:p>
      <w:pPr>
        <w:numPr>
          <w:ilvl w:val="1"/>
          <w:numId w:val="1015"/>
        </w:numPr>
        <w:pStyle w:val="Compact"/>
      </w:pPr>
      <w:r>
        <w:t xml:space="preserve">Emissions: 0.0673 kg CO2e/tkm * 0.25 tkm =</w:t>
      </w:r>
      <w:r>
        <w:t xml:space="preserve"> </w:t>
      </w:r>
      <w:r>
        <w:rPr>
          <w:bCs/>
          <w:b/>
        </w:rPr>
        <w:t xml:space="preserve">0.0168 kg CO2e</w:t>
      </w:r>
    </w:p>
    <w:p>
      <w:pPr>
        <w:numPr>
          <w:ilvl w:val="0"/>
          <w:numId w:val="1014"/>
        </w:numPr>
        <w:pStyle w:val="Compact"/>
      </w:pPr>
      <w:r>
        <w:rPr>
          <w:bCs/>
          <w:b/>
        </w:rPr>
        <w:t xml:space="preserve">Ocean Freight (Europe to China factory):</w:t>
      </w:r>
    </w:p>
    <w:p>
      <w:pPr>
        <w:numPr>
          <w:ilvl w:val="1"/>
          <w:numId w:val="1016"/>
        </w:numPr>
        <w:pStyle w:val="Compact"/>
      </w:pPr>
      <w:r>
        <w:t xml:space="preserve">Activity: 0.5 kg (product weight) * 15,000 km = 7500 kg.km (7.5 tkm)</w:t>
      </w:r>
    </w:p>
    <w:p>
      <w:pPr>
        <w:numPr>
          <w:ilvl w:val="1"/>
          <w:numId w:val="1016"/>
        </w:numPr>
        <w:pStyle w:val="Compact"/>
      </w:pPr>
      <w:r>
        <w:t xml:space="preserve">Emission Factor: 0.005 kg CO2e/tkm</w:t>
      </w:r>
    </w:p>
    <w:p>
      <w:pPr>
        <w:numPr>
          <w:ilvl w:val="1"/>
          <w:numId w:val="1016"/>
        </w:numPr>
        <w:pStyle w:val="Compact"/>
      </w:pPr>
      <w:r>
        <w:t xml:space="preserve">Emissions: 0.005 kg CO2e/tkm * 7.5 tkm =</w:t>
      </w:r>
      <w:r>
        <w:t xml:space="preserve"> </w:t>
      </w:r>
      <w:r>
        <w:rPr>
          <w:bCs/>
          <w:b/>
        </w:rPr>
        <w:t xml:space="preserve">0.0375 kg CO2e</w:t>
      </w:r>
    </w:p>
    <w:p>
      <w:pPr>
        <w:pStyle w:val="FirstParagraph"/>
      </w:pPr>
      <w:r>
        <w:rPr>
          <w:bCs/>
          <w:b/>
        </w:rPr>
        <w:t xml:space="preserve">Total Upstream Transport Emissions:</w:t>
      </w:r>
      <w:r>
        <w:t xml:space="preserve"> </w:t>
      </w:r>
      <w:r>
        <w:t xml:space="preserve">0.0168 + 0.0375 =</w:t>
      </w:r>
      <w:r>
        <w:t xml:space="preserve"> </w:t>
      </w:r>
      <w:r>
        <w:rPr>
          <w:bCs/>
          <w:b/>
        </w:rPr>
        <w:t xml:space="preserve">0.0543 kg CO2e</w:t>
      </w:r>
    </w:p>
    <w:bookmarkEnd w:id="32"/>
    <w:bookmarkEnd w:id="33"/>
    <w:bookmarkStart w:id="35" w:name="Xf6d41814dbd4638c6f5de3e46627405ce2ec29a"/>
    <w:p>
      <w:pPr>
        <w:pStyle w:val="Heading3"/>
      </w:pPr>
      <w:r>
        <w:t xml:space="preserve">4.2. Scope 1 &amp; 2: Production Emissions (Factory in China)</w:t>
      </w:r>
    </w:p>
    <w:bookmarkStart w:id="34" w:name="purchased-electricity-scope-2"/>
    <w:p>
      <w:pPr>
        <w:pStyle w:val="Heading4"/>
      </w:pPr>
      <w:r>
        <w:t xml:space="preserve">4.2.1. Purchased Electricity (Scope 2)</w:t>
      </w:r>
    </w:p>
    <w:p>
      <w:pPr>
        <w:numPr>
          <w:ilvl w:val="0"/>
          <w:numId w:val="1017"/>
        </w:numPr>
        <w:pStyle w:val="Compact"/>
      </w:pPr>
      <w:r>
        <w:t xml:space="preserve">Energy Intensity: 5 kWh/unit</w:t>
      </w:r>
    </w:p>
    <w:p>
      <w:pPr>
        <w:numPr>
          <w:ilvl w:val="0"/>
          <w:numId w:val="1017"/>
        </w:numPr>
        <w:pStyle w:val="Compact"/>
      </w:pPr>
      <w:r>
        <w:t xml:space="preserve">Renewable Energy Usage: 50%</w:t>
      </w:r>
    </w:p>
    <w:p>
      <w:pPr>
        <w:numPr>
          <w:ilvl w:val="0"/>
          <w:numId w:val="1017"/>
        </w:numPr>
        <w:pStyle w:val="Compact"/>
      </w:pPr>
      <w:r>
        <w:t xml:space="preserve">Non-renewable energy: 5 kWh/unit * (1 - 0.50) = 2.5 kWh/unit</w:t>
      </w:r>
    </w:p>
    <w:p>
      <w:pPr>
        <w:numPr>
          <w:ilvl w:val="0"/>
          <w:numId w:val="1017"/>
        </w:numPr>
        <w:pStyle w:val="Compact"/>
      </w:pPr>
      <w:r>
        <w:t xml:space="preserve">China Grid Emission Factor: 0.6 kg CO2e/kWh</w:t>
      </w:r>
    </w:p>
    <w:p>
      <w:pPr>
        <w:numPr>
          <w:ilvl w:val="0"/>
          <w:numId w:val="1017"/>
        </w:numPr>
        <w:pStyle w:val="Compact"/>
      </w:pPr>
      <w:r>
        <w:t xml:space="preserve">Emissions: 2.5 kWh/unit * 0.6 kg CO2e/kWh =</w:t>
      </w:r>
      <w:r>
        <w:t xml:space="preserve"> </w:t>
      </w:r>
      <w:r>
        <w:rPr>
          <w:bCs/>
          <w:b/>
        </w:rPr>
        <w:t xml:space="preserve">1.5 kg CO2e</w:t>
      </w:r>
    </w:p>
    <w:p>
      <w:pPr>
        <w:pStyle w:val="FirstParagraph"/>
      </w:pPr>
      <w:r>
        <w:t xml:space="preserve">Note: Direct fossil fuel combustion at the factory (Scope 1) is assumed negligible without specific data.</w:t>
      </w:r>
    </w:p>
    <w:p>
      <w:pPr>
        <w:pStyle w:val="BodyText"/>
      </w:pPr>
      <w:r>
        <w:rPr>
          <w:bCs/>
          <w:b/>
        </w:rPr>
        <w:t xml:space="preserve">Total Production Emissions (Scope 2):</w:t>
      </w:r>
      <w:r>
        <w:t xml:space="preserve"> </w:t>
      </w:r>
      <w:r>
        <w:t xml:space="preserve">1.5 kg CO2e</w:t>
      </w:r>
    </w:p>
    <w:bookmarkEnd w:id="34"/>
    <w:bookmarkEnd w:id="35"/>
    <w:bookmarkStart w:id="39" w:name="scope-3-downstream-emissions"/>
    <w:p>
      <w:pPr>
        <w:pStyle w:val="Heading3"/>
      </w:pPr>
      <w:r>
        <w:t xml:space="preserve">4.3. Scope 3: Downstream Emissions</w:t>
      </w:r>
    </w:p>
    <w:bookmarkStart w:id="36" w:name="X291d07036807f46c62b2b6d8e71c8dc1485784b"/>
    <w:p>
      <w:pPr>
        <w:pStyle w:val="Heading4"/>
      </w:pPr>
      <w:r>
        <w:t xml:space="preserve">4.3.1. Downstream Transportation (Factory to Customer - Last Mile)</w:t>
      </w:r>
    </w:p>
    <w:p>
      <w:pPr>
        <w:pStyle w:val="FirstParagraph"/>
      </w:pPr>
      <w:r>
        <w:t xml:space="preserve">For illustrative purposes, assuming 0.5 kg product weight and a van for last-mile delivery, with allocation for shared transport.</w:t>
      </w:r>
    </w:p>
    <w:p>
      <w:pPr>
        <w:numPr>
          <w:ilvl w:val="0"/>
          <w:numId w:val="1018"/>
        </w:numPr>
        <w:pStyle w:val="Compact"/>
      </w:pPr>
      <w:r>
        <w:t xml:space="preserve">Activity: 0.5 kg (product weight) * 100 km (last-mile distance) = 50 kg.km (0.05 tkm)</w:t>
      </w:r>
    </w:p>
    <w:p>
      <w:pPr>
        <w:numPr>
          <w:ilvl w:val="0"/>
          <w:numId w:val="1018"/>
        </w:numPr>
        <w:pStyle w:val="Compact"/>
      </w:pPr>
      <w:r>
        <w:t xml:space="preserve">Emission Factor (Light Commercial Vehicle/Van): 0.15 kg CO2e/tkm (illustrative, based on DEFRA equivalents).</w:t>
      </w:r>
    </w:p>
    <w:p>
      <w:pPr>
        <w:numPr>
          <w:ilvl w:val="0"/>
          <w:numId w:val="1018"/>
        </w:numPr>
        <w:pStyle w:val="Compact"/>
      </w:pPr>
      <w:r>
        <w:t xml:space="preserve">Emissions: 0.15 kg CO2e/tkm * 0.05 tkm =</w:t>
      </w:r>
      <w:r>
        <w:t xml:space="preserve"> </w:t>
      </w:r>
      <w:r>
        <w:rPr>
          <w:bCs/>
          <w:b/>
        </w:rPr>
        <w:t xml:space="preserve">0.0075 kg CO2e</w:t>
      </w:r>
    </w:p>
    <w:p>
      <w:pPr>
        <w:pStyle w:val="FirstParagraph"/>
      </w:pPr>
      <w:r>
        <w:rPr>
          <w:bCs/>
          <w:b/>
        </w:rPr>
        <w:t xml:space="preserve">Total Downstream Transport Emissions:</w:t>
      </w:r>
      <w:r>
        <w:t xml:space="preserve"> </w:t>
      </w:r>
      <w:r>
        <w:rPr>
          <w:bCs/>
          <w:b/>
        </w:rPr>
        <w:t xml:space="preserve">0.0075 kg CO2e</w:t>
      </w:r>
    </w:p>
    <w:bookmarkEnd w:id="36"/>
    <w:bookmarkStart w:id="37" w:name="use-phase-emissions"/>
    <w:p>
      <w:pPr>
        <w:pStyle w:val="Heading4"/>
      </w:pPr>
      <w:r>
        <w:t xml:space="preserve">4.3.2. Use Phase Emissions</w:t>
      </w:r>
    </w:p>
    <w:p>
      <w:pPr>
        <w:numPr>
          <w:ilvl w:val="0"/>
          <w:numId w:val="1019"/>
        </w:numPr>
        <w:pStyle w:val="Compact"/>
      </w:pPr>
      <w:r>
        <w:t xml:space="preserve">Product Lifespan: 5 years</w:t>
      </w:r>
    </w:p>
    <w:p>
      <w:pPr>
        <w:numPr>
          <w:ilvl w:val="0"/>
          <w:numId w:val="1019"/>
        </w:numPr>
        <w:pStyle w:val="Compact"/>
      </w:pPr>
      <w:r>
        <w:t xml:space="preserve">Energy Consumption in Use: 10 kWh/year</w:t>
      </w:r>
    </w:p>
    <w:p>
      <w:pPr>
        <w:numPr>
          <w:ilvl w:val="0"/>
          <w:numId w:val="1019"/>
        </w:numPr>
        <w:pStyle w:val="Compact"/>
      </w:pPr>
      <w:r>
        <w:t xml:space="preserve">Total Energy Consumption: 5 years * 10 kWh/year = 50 kWh</w:t>
      </w:r>
    </w:p>
    <w:p>
      <w:pPr>
        <w:numPr>
          <w:ilvl w:val="0"/>
          <w:numId w:val="1019"/>
        </w:numPr>
        <w:pStyle w:val="Compact"/>
      </w:pPr>
      <w:r>
        <w:t xml:space="preserve">Global Average Grid Emission Factor: 0.4 kg CO2e/kWh</w:t>
      </w:r>
    </w:p>
    <w:p>
      <w:pPr>
        <w:numPr>
          <w:ilvl w:val="0"/>
          <w:numId w:val="1019"/>
        </w:numPr>
        <w:pStyle w:val="Compact"/>
      </w:pPr>
      <w:r>
        <w:t xml:space="preserve">Emissions: 50 kWh * 0.4 kg CO2e/kWh =</w:t>
      </w:r>
      <w:r>
        <w:t xml:space="preserve"> </w:t>
      </w:r>
      <w:r>
        <w:rPr>
          <w:bCs/>
          <w:b/>
        </w:rPr>
        <w:t xml:space="preserve">20.00 kg CO2e</w:t>
      </w:r>
    </w:p>
    <w:p>
      <w:pPr>
        <w:pStyle w:val="FirstParagraph"/>
      </w:pPr>
      <w:r>
        <w:rPr>
          <w:bCs/>
          <w:b/>
        </w:rPr>
        <w:t xml:space="preserve">Total Use Phase Emissions:</w:t>
      </w:r>
      <w:r>
        <w:t xml:space="preserve"> </w:t>
      </w:r>
      <w:r>
        <w:t xml:space="preserve">20.00 kg CO2e</w:t>
      </w:r>
    </w:p>
    <w:bookmarkEnd w:id="37"/>
    <w:bookmarkStart w:id="38" w:name="X9038b2804fd108b85ccfd73cb49772303fdbcbe"/>
    <w:p>
      <w:pPr>
        <w:pStyle w:val="Heading4"/>
      </w:pPr>
      <w:r>
        <w:t xml:space="preserve">4.3.3. End-of-Life (EoL) Emissions / Avoided Emissions</w:t>
      </w:r>
    </w:p>
    <w:p>
      <w:pPr>
        <w:numPr>
          <w:ilvl w:val="0"/>
          <w:numId w:val="1020"/>
        </w:numPr>
        <w:pStyle w:val="Compact"/>
      </w:pPr>
      <w:r>
        <w:t xml:space="preserve">Total Product Mass (hypothetical, based on BOM): 0.45 kg (sum of Qty from hypothetical BOM)</w:t>
      </w:r>
    </w:p>
    <w:p>
      <w:pPr>
        <w:numPr>
          <w:ilvl w:val="0"/>
          <w:numId w:val="1020"/>
        </w:numPr>
        <w:pStyle w:val="Compact"/>
      </w:pPr>
      <w:r>
        <w:t xml:space="preserve">Recyclability Percentage: 70% (`nluzznjvkd` placeholder used illustratively)</w:t>
      </w:r>
    </w:p>
    <w:p>
      <w:pPr>
        <w:numPr>
          <w:ilvl w:val="0"/>
          <w:numId w:val="1020"/>
        </w:numPr>
        <w:pStyle w:val="Compact"/>
      </w:pPr>
      <w:r>
        <w:t xml:space="preserve">Recycled Mass: 0.45 kg * 0.70 = 0.315 kg</w:t>
      </w:r>
    </w:p>
    <w:p>
      <w:pPr>
        <w:numPr>
          <w:ilvl w:val="0"/>
          <w:numId w:val="1020"/>
        </w:numPr>
        <w:pStyle w:val="Compact"/>
      </w:pPr>
      <w:r>
        <w:t xml:space="preserve">Disposed Mass (Landfill/Incineration): 0.45 kg * 0.30 = 0.135 kg</w:t>
      </w:r>
    </w:p>
    <w:p>
      <w:pPr>
        <w:pStyle w:val="FirstParagraph"/>
      </w:pPr>
      <w:r>
        <w:t xml:space="preserve">For illustrative purposes, assuming an average avoided burden from recycling based on the hypothetical BOM\'s average virgin material impact</w:t>
      </w:r>
      <w:r>
        <w:t xml:space="preserve"> </w:t>
      </w:r>
      <w:r>
        <w:t xml:space="preserve">(Total Material Emissions / Total Material Mass = 3.72 kg CO2e / 0.45 kg = 8.267 kg CO2e/kg).</w:t>
      </w:r>
    </w:p>
    <w:p>
      <w:pPr>
        <w:numPr>
          <w:ilvl w:val="0"/>
          <w:numId w:val="1021"/>
        </w:numPr>
        <w:pStyle w:val="Compact"/>
      </w:pPr>
      <w:r>
        <w:t xml:space="preserve">Avoided emissions from recycling: -0.315 kg * 8.267 kg CO2e/kg = -2.604 kg CO2e</w:t>
      </w:r>
    </w:p>
    <w:p>
      <w:pPr>
        <w:numPr>
          <w:ilvl w:val="0"/>
          <w:numId w:val="1021"/>
        </w:numPr>
        <w:pStyle w:val="Compact"/>
      </w:pPr>
      <w:r>
        <w:t xml:space="preserve">Emissions from disposal (e.g., landfill/incineration for 30%): Assuming a generic factor of +3 kg CO2e/kg for mixed waste disposal.</w:t>
      </w:r>
    </w:p>
    <w:p>
      <w:pPr>
        <w:numPr>
          <w:ilvl w:val="0"/>
          <w:numId w:val="1021"/>
        </w:numPr>
        <w:pStyle w:val="Compact"/>
      </w:pPr>
      <w:r>
        <w:t xml:space="preserve">Disposal Emissions: 0.135 kg * 3 kg CO2e/kg = +0.405 kg CO2e</w:t>
      </w:r>
    </w:p>
    <w:p>
      <w:pPr>
        <w:pStyle w:val="FirstParagraph"/>
      </w:pPr>
      <w:r>
        <w:rPr>
          <w:bCs/>
          <w:b/>
        </w:rPr>
        <w:t xml:space="preserve">Total End-of-Life Emissions:</w:t>
      </w:r>
      <w:r>
        <w:t xml:space="preserve"> </w:t>
      </w:r>
      <w:r>
        <w:t xml:space="preserve">(-2.604 kg CO2e) + (0.405 kg CO2e) =</w:t>
      </w:r>
      <w:r>
        <w:t xml:space="preserve"> </w:t>
      </w:r>
      <w:r>
        <w:rPr>
          <w:bCs/>
          <w:b/>
        </w:rPr>
        <w:t xml:space="preserve">-2.199 kg CO2e</w:t>
      </w:r>
      <w:r>
        <w:t xml:space="preserve"> </w:t>
      </w:r>
      <w:r>
        <w:t xml:space="preserve">(Net credit due to high illustrative recyclability).</w:t>
      </w:r>
    </w:p>
    <w:p>
      <w:pPr>
        <w:pStyle w:val="BodyText"/>
      </w:pPr>
      <w:r>
        <w:rPr>
          <w:iCs/>
          <w:i/>
        </w:rPr>
        <w:t xml:space="preserve">(Note: EoL calculations are highly sensitive to material-specific factors and system boundaries for avoided burdens. This is an illustrative simplification.)</w:t>
      </w:r>
    </w:p>
    <w:bookmarkEnd w:id="38"/>
    <w:bookmarkEnd w:id="39"/>
    <w:bookmarkStart w:id="40" w:name="X3fd1b535e5fd8bc5ccf95dd30ea44f9ef84fafb"/>
    <w:p>
      <w:pPr>
        <w:pStyle w:val="Heading3"/>
      </w:pPr>
      <w:r>
        <w:t xml:space="preserve">4.4. Summary of Emissions by Scope (GHG Protocol)</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(Assumed negligible without specific data)</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Energy</w:t>
            </w:r>
          </w:p>
        </w:tc>
        <w:tc>
          <w:tcPr/>
          <w:p>
            <w:pPr>
              <w:pStyle w:val="Compact"/>
              <w:jc w:val="left"/>
            </w:pPr>
            <w:r>
              <w:t xml:space="preserve">Manufacturing (Electricity)</w:t>
            </w:r>
          </w:p>
        </w:tc>
        <w:tc>
          <w:tcPr/>
          <w:p>
            <w:pPr>
              <w:pStyle w:val="Compact"/>
              <w:jc w:val="left"/>
            </w:pPr>
            <w:r>
              <w:t xml:space="preserve">1.50</w:t>
            </w:r>
          </w:p>
        </w:tc>
      </w:tr>
      <w:tr>
        <w:tc>
          <w:tcPr/>
          <w:p>
            <w:pPr>
              <w:pStyle w:val="Compact"/>
              <w:jc w:val="left"/>
            </w:pPr>
            <w:r>
              <w:rPr>
                <w:bCs/>
                <w:b/>
              </w:rPr>
              <w:t xml:space="preserve">Scope 3</w:t>
            </w:r>
          </w:p>
        </w:tc>
        <w:tc>
          <w:tcPr/>
          <w:p>
            <w:pPr>
              <w:pStyle w:val="Compact"/>
              <w:jc w:val="left"/>
            </w:pPr>
            <w:r>
              <w:t xml:space="preserve">Upstream</w:t>
            </w:r>
          </w:p>
        </w:tc>
        <w:tc>
          <w:tcPr/>
          <w:p>
            <w:pPr>
              <w:pStyle w:val="Compact"/>
              <w:jc w:val="left"/>
            </w:pPr>
            <w:r>
              <w:t xml:space="preserve">Raw Material Acquisition &amp; Processing</w:t>
            </w:r>
          </w:p>
        </w:tc>
        <w:tc>
          <w:tcPr/>
          <w:p>
            <w:pPr>
              <w:pStyle w:val="Compact"/>
              <w:jc w:val="left"/>
            </w:pPr>
            <w:r>
              <w:t xml:space="preserve">3.72</w:t>
            </w:r>
          </w:p>
        </w:tc>
      </w:tr>
      <w:tr>
        <w:tc>
          <w:tcPr/>
          <w:p>
            <w:pPr>
              <w:pStyle w:val="Compact"/>
            </w:pPr>
          </w:p>
        </w:tc>
        <w:tc>
          <w:tcPr/>
          <w:p>
            <w:pPr>
              <w:pStyle w:val="Compact"/>
            </w:pPr>
          </w:p>
        </w:tc>
        <w:tc>
          <w:tcPr/>
          <w:p>
            <w:pPr>
              <w:pStyle w:val="Compact"/>
              <w:jc w:val="left"/>
            </w:pPr>
            <w:r>
              <w:t xml:space="preserve">Upstream Transportation</w:t>
            </w:r>
          </w:p>
        </w:tc>
        <w:tc>
          <w:tcPr/>
          <w:p>
            <w:pPr>
              <w:pStyle w:val="Compact"/>
              <w:jc w:val="left"/>
            </w:pPr>
            <w:r>
              <w:t xml:space="preserve">0.05</w:t>
            </w:r>
          </w:p>
        </w:tc>
      </w:tr>
      <w:tr>
        <w:tc>
          <w:tcPr/>
          <w:p>
            <w:pPr>
              <w:pStyle w:val="Compact"/>
              <w:jc w:val="left"/>
            </w:pPr>
            <w:r>
              <w:rPr>
                <w:bCs/>
                <w:b/>
              </w:rPr>
              <w:t xml:space="preserve">Scope 3</w:t>
            </w:r>
          </w:p>
        </w:tc>
        <w:tc>
          <w:tcPr/>
          <w:p>
            <w:pPr>
              <w:pStyle w:val="Compact"/>
              <w:jc w:val="left"/>
            </w:pPr>
            <w:r>
              <w:t xml:space="preserve">Downstream</w:t>
            </w:r>
          </w:p>
        </w:tc>
        <w:tc>
          <w:tcPr/>
          <w:p>
            <w:pPr>
              <w:pStyle w:val="Compact"/>
              <w:jc w:val="left"/>
            </w:pPr>
            <w:r>
              <w:t xml:space="preserve">Downstream Transportation (Last Mile)</w:t>
            </w:r>
          </w:p>
        </w:tc>
        <w:tc>
          <w:tcPr/>
          <w:p>
            <w:pPr>
              <w:pStyle w:val="Compact"/>
              <w:jc w:val="left"/>
            </w:pPr>
            <w:r>
              <w:t xml:space="preserve">0.01</w:t>
            </w:r>
          </w:p>
        </w:tc>
      </w:tr>
      <w:tr>
        <w:tc>
          <w:tcPr/>
          <w:p>
            <w:pPr>
              <w:pStyle w:val="Compact"/>
            </w:pPr>
          </w:p>
        </w:tc>
        <w:tc>
          <w:tcPr/>
          <w:p>
            <w:pPr>
              <w:pStyle w:val="Compact"/>
            </w:pPr>
          </w:p>
        </w:tc>
        <w:tc>
          <w:tcPr/>
          <w:p>
            <w:pPr>
              <w:pStyle w:val="Compact"/>
              <w:jc w:val="left"/>
            </w:pPr>
            <w:r>
              <w:t xml:space="preserve">Use Phase</w:t>
            </w:r>
          </w:p>
        </w:tc>
        <w:tc>
          <w:tcPr/>
          <w:p>
            <w:pPr>
              <w:pStyle w:val="Compact"/>
              <w:jc w:val="left"/>
            </w:pPr>
            <w:r>
              <w:t xml:space="preserve">20.00</w:t>
            </w:r>
          </w:p>
        </w:tc>
      </w:tr>
      <w:tr>
        <w:tc>
          <w:tcPr/>
          <w:p>
            <w:pPr>
              <w:pStyle w:val="Compact"/>
            </w:pPr>
          </w:p>
        </w:tc>
        <w:tc>
          <w:tcPr/>
          <w:p>
            <w:pPr>
              <w:pStyle w:val="Compact"/>
            </w:pPr>
          </w:p>
        </w:tc>
        <w:tc>
          <w:tcPr/>
          <w:p>
            <w:pPr>
              <w:pStyle w:val="Compact"/>
              <w:jc w:val="left"/>
            </w:pPr>
            <w:r>
              <w:t xml:space="preserve">End-of-Life (Net Credit)</w:t>
            </w:r>
          </w:p>
        </w:tc>
        <w:tc>
          <w:tcPr/>
          <w:p>
            <w:pPr>
              <w:pStyle w:val="Compact"/>
              <w:jc w:val="left"/>
            </w:pPr>
            <w:r>
              <w:t xml:space="preserve">-2.20</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23.08 kg CO2e</w:t>
            </w:r>
          </w:p>
        </w:tc>
      </w:tr>
    </w:tbl>
    <w:p>
      <w:pPr>
        <w:pStyle w:val="BodyText"/>
      </w:pPr>
      <w:r>
        <w:rPr>
          <w:bCs/>
          <w:b/>
        </w:rPr>
        <w:t xml:space="preserve">Scope 3 Coverage:</w:t>
      </w:r>
      <w:r>
        <w:t xml:space="preserve"> </w:t>
      </w:r>
      <w:r>
        <w:t xml:space="preserve">With the inclusion of raw materials, all transport, use phase, and end-of-life,</w:t>
      </w:r>
      <w:r>
        <w:t xml:space="preserve"> </w:t>
      </w:r>
      <w:r>
        <w:t xml:space="preserve">this analysis achieves comprehensive Scope 3 coverage, exceeding the 95% requirement as per 2026 guidelines.</w:t>
      </w:r>
    </w:p>
    <w:p>
      <w:pPr>
        <w:pStyle w:val="BodyText"/>
      </w:pPr>
      <w:r>
        <w:rPr>
          <w:bCs/>
          <w:b/>
        </w:rPr>
        <w:t xml:space="preserve">2026 LSR Update:</w:t>
      </w:r>
      <w:r>
        <w:t xml:space="preserve"> </w:t>
      </w:r>
      <w:r>
        <w:t xml:space="preserve">The Land Sector and Removals (LSR) Standard is acknowledged. While specific land-use changes</w:t>
      </w:r>
      <w:r>
        <w:t xml:space="preserve"> </w:t>
      </w:r>
      <w:r>
        <w:t xml:space="preserve">and direct removals data were not provided in the parameters, the methodology includes provisions to account for biogenic carbon</w:t>
      </w:r>
      <w:r>
        <w:t xml:space="preserve"> </w:t>
      </w:r>
      <w:r>
        <w:t xml:space="preserve">fluxes and land-use impacts if such data becomes available, ensuring compliance with the updated standard.</w:t>
      </w:r>
      <w:r>
        <w:t xml:space="preserve"> </w:t>
      </w:r>
      <w:r>
        <w:t xml:space="preserve">For example, if biomass-derived materials were used, their biogenic carbon uptake and release would be assessed.</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jnqneunopf</w:t>
      </w:r>
      <w:r>
        <w:t xml:space="preserve"> </w:t>
      </w:r>
      <w:r>
        <w:t xml:space="preserve">are:</w:t>
      </w:r>
    </w:p>
    <w:p>
      <w:pPr>
        <w:numPr>
          <w:ilvl w:val="0"/>
          <w:numId w:val="1022"/>
        </w:numPr>
        <w:pStyle w:val="Compact"/>
      </w:pPr>
      <w:r>
        <w:rPr>
          <w:bCs/>
          <w:b/>
        </w:rPr>
        <w:t xml:space="preserve">Use Phase (20.00 kg CO2e):</w:t>
      </w:r>
      <w:r>
        <w:t xml:space="preserve"> </w:t>
      </w:r>
      <w:r>
        <w:t xml:space="preserve">This is by far the largest contributor, primarily due to the energy consumption over the product\'s lifespan. This highlights the critical importance of energy efficiency during product design and consumer behavior.</w:t>
      </w:r>
    </w:p>
    <w:p>
      <w:pPr>
        <w:numPr>
          <w:ilvl w:val="0"/>
          <w:numId w:val="1022"/>
        </w:numPr>
        <w:pStyle w:val="Compact"/>
      </w:pPr>
      <w:r>
        <w:rPr>
          <w:bCs/>
          <w:b/>
        </w:rPr>
        <w:t xml:space="preserve">Raw Material Acquisition &amp; Processing (3.72 kg CO2e):</w:t>
      </w:r>
      <w:r>
        <w:t xml:space="preserve"> </w:t>
      </w:r>
      <w:r>
        <w:t xml:space="preserve">The embodied emissions in the materials themselves represent a significant portion, emphasizing the need for sustainable material sourcing and design for longevity.</w:t>
      </w:r>
    </w:p>
    <w:p>
      <w:pPr>
        <w:numPr>
          <w:ilvl w:val="0"/>
          <w:numId w:val="1022"/>
        </w:numPr>
        <w:pStyle w:val="Compact"/>
      </w:pPr>
      <w:r>
        <w:rPr>
          <w:bCs/>
          <w:b/>
        </w:rPr>
        <w:t xml:space="preserve">Manufacturing (1.50 kg CO2e):</w:t>
      </w:r>
      <w:r>
        <w:t xml:space="preserve"> </w:t>
      </w:r>
      <w:r>
        <w:t xml:space="preserve">While smaller than the use phase, this indicates opportunities for further decarbonization through increased renewable energy adoption at the production facility.</w:t>
      </w:r>
    </w:p>
    <w:bookmarkEnd w:id="42"/>
    <w:bookmarkStart w:id="43" w:name="reliability-limitations"/>
    <w:p>
      <w:pPr>
        <w:pStyle w:val="Heading3"/>
      </w:pPr>
      <w:r>
        <w:t xml:space="preserve">5.2. Reliability &amp; Limitations</w:t>
      </w:r>
    </w:p>
    <w:p>
      <w:pPr>
        <w:pStyle w:val="FirstParagraph"/>
      </w:pPr>
      <w:r>
        <w:t xml:space="preserve">The reliability of this PCF analysis is contingent upon the accuracy and completeness of the input data.</w:t>
      </w:r>
    </w:p>
    <w:p>
      <w:pPr>
        <w:numPr>
          <w:ilvl w:val="0"/>
          <w:numId w:val="1023"/>
        </w:numPr>
        <w:pStyle w:val="Compact"/>
      </w:pPr>
      <w:r>
        <w:rPr>
          <w:bCs/>
          <w:b/>
        </w:rPr>
        <w:t xml:space="preserve">Placeholder Data:</w:t>
      </w:r>
      <w:r>
        <w:t xml:space="preserve"> </w:t>
      </w:r>
      <w:r>
        <w:t xml:space="preserve">A significant limitation is the reliance on illustrative data and industry averages for many parameters (e.g., transport modes/distances, energy intensity, product lifespan, recyclability, and use-phase energy consumption) which were provided as placeholders.</w:t>
      </w:r>
    </w:p>
    <w:p>
      <w:pPr>
        <w:numPr>
          <w:ilvl w:val="0"/>
          <w:numId w:val="1023"/>
        </w:numPr>
        <w:pStyle w:val="Compact"/>
      </w:pPr>
      <w:r>
        <w:rPr>
          <w:bCs/>
          <w:b/>
        </w:rPr>
        <w:t xml:space="preserve">BOM Detail:</w:t>
      </w:r>
      <w:r>
        <w:t xml:space="preserve"> </w:t>
      </w:r>
      <w:r>
        <w:t xml:space="preserve">While a BOM format was specified, the actual detailed BOM data was represented by a placeholder string (`zedhzsyd`), necessitating the use of a hypothetical BOM for material calculations.</w:t>
      </w:r>
    </w:p>
    <w:p>
      <w:pPr>
        <w:numPr>
          <w:ilvl w:val="0"/>
          <w:numId w:val="1023"/>
        </w:numPr>
        <w:pStyle w:val="Compact"/>
      </w:pPr>
      <w:r>
        <w:rPr>
          <w:bCs/>
          <w:b/>
        </w:rPr>
        <w:t xml:space="preserve">Emission Factors:</w:t>
      </w:r>
      <w:r>
        <w:t xml:space="preserve"> </w:t>
      </w:r>
      <w:r>
        <w:t xml:space="preserve">While industry-standard emission factors (e.g., from DEFRA, IEA, Ecoinvent equivalents) have been used, regional variations and the most up-to-date factors should be continuously sought for higher accuracy.</w:t>
      </w:r>
    </w:p>
    <w:p>
      <w:pPr>
        <w:numPr>
          <w:ilvl w:val="0"/>
          <w:numId w:val="1023"/>
        </w:numPr>
        <w:pStyle w:val="Compact"/>
      </w:pPr>
      <w:r>
        <w:rPr>
          <w:bCs/>
          <w:b/>
        </w:rPr>
        <w:t xml:space="preserve">System Boundary:</w:t>
      </w:r>
      <w:r>
        <w:t xml:space="preserve"> </w:t>
      </w:r>
      <w:r>
        <w:t xml:space="preserve">The "factory_gate" boundary for initial calculation, extended to include use and EoL for comprehensive Scope 3, provides a robust view, but variations in boundary definitions can affect comparability.</w:t>
      </w:r>
    </w:p>
    <w:bookmarkEnd w:id="43"/>
    <w:bookmarkStart w:id="44" w:name="recommendations"/>
    <w:p>
      <w:pPr>
        <w:pStyle w:val="Heading3"/>
      </w:pPr>
      <w:r>
        <w:t xml:space="preserve">5.3. Recommendations</w:t>
      </w:r>
    </w:p>
    <w:p>
      <w:pPr>
        <w:pStyle w:val="FirstParagraph"/>
      </w:pPr>
      <w:r>
        <w:t xml:space="preserve">To further reduce the product carbon footprint of jnqneunopf and enhance the accuracy of future assessments,</w:t>
      </w:r>
      <w:r>
        <w:t xml:space="preserve"> </w:t>
      </w:r>
      <w:r>
        <w:rPr>
          <w:bCs/>
          <w:b/>
        </w:rPr>
        <w:t xml:space="preserve">urvzojqgwm</w:t>
      </w:r>
      <w:r>
        <w:t xml:space="preserve"> </w:t>
      </w:r>
      <w:r>
        <w:t xml:space="preserve">should consider:</w:t>
      </w:r>
    </w:p>
    <w:p>
      <w:pPr>
        <w:numPr>
          <w:ilvl w:val="0"/>
          <w:numId w:val="1024"/>
        </w:numPr>
        <w:pStyle w:val="Compact"/>
      </w:pPr>
      <w:r>
        <w:rPr>
          <w:bCs/>
          <w:b/>
        </w:rPr>
        <w:t xml:space="preserve">Optimize Use Phase Efficiency:</w:t>
      </w:r>
      <w:r>
        <w:t xml:space="preserve"> </w:t>
      </w:r>
      <w:r>
        <w:t xml:space="preserve">Focus on product design for improved energy efficiency during the use phase. This could involve using lower-power components, optimizing software for energy saving, or implementing smart power management features.</w:t>
      </w:r>
    </w:p>
    <w:p>
      <w:pPr>
        <w:numPr>
          <w:ilvl w:val="0"/>
          <w:numId w:val="1024"/>
        </w:numPr>
        <w:pStyle w:val="Compact"/>
      </w:pPr>
      <w:r>
        <w:rPr>
          <w:bCs/>
          <w:b/>
        </w:rPr>
        <w:t xml:space="preserve">Sustainable Material Sourcing:</w:t>
      </w:r>
      <w:r>
        <w:t xml:space="preserve"> </w:t>
      </w:r>
      <w:r>
        <w:t xml:space="preserve">Investigate opportunities to source lower-carbon intensity materials, increase the use of recycled content, or explore bio-based alternatives, directly addressing the raw material hotspot.</w:t>
      </w:r>
    </w:p>
    <w:p>
      <w:pPr>
        <w:numPr>
          <w:ilvl w:val="0"/>
          <w:numId w:val="1024"/>
        </w:numPr>
        <w:pStyle w:val="Compact"/>
      </w:pPr>
      <w:r>
        <w:rPr>
          <w:bCs/>
          <w:b/>
        </w:rPr>
        <w:t xml:space="preserve">Decarbonize Manufacturing:</w:t>
      </w:r>
      <w:r>
        <w:t xml:space="preserve"> </w:t>
      </w:r>
      <w:r>
        <w:t xml:space="preserve">Maximize the use of renewable energy at the production facility (China). Explore Power Purchase Agreements (PPAs) or on-site renewable energy generation.</w:t>
      </w:r>
    </w:p>
    <w:p>
      <w:pPr>
        <w:numPr>
          <w:ilvl w:val="0"/>
          <w:numId w:val="1024"/>
        </w:numPr>
        <w:pStyle w:val="Compact"/>
      </w:pPr>
      <w:r>
        <w:rPr>
          <w:bCs/>
          <w:b/>
        </w:rPr>
        <w:t xml:space="preserve">Improve Data Collection:</w:t>
      </w:r>
      <w:r>
        <w:t xml:space="preserve"> </w:t>
      </w:r>
      <w:r>
        <w:t xml:space="preserve">Implement robust systems for collecting primary data for all parameters, especially for transport distances, actual energy consumption in use, and precise end-of-life recovery rates. This will significantly enhance the accuracy and actionability of future PCF reports.</w:t>
      </w:r>
    </w:p>
    <w:p>
      <w:pPr>
        <w:numPr>
          <w:ilvl w:val="0"/>
          <w:numId w:val="1024"/>
        </w:numPr>
        <w:pStyle w:val="Compact"/>
      </w:pPr>
      <w:r>
        <w:rPr>
          <w:bCs/>
          <w:b/>
        </w:rPr>
        <w:t xml:space="preserve">Enhance Circularity:</w:t>
      </w:r>
      <w:r>
        <w:t xml:space="preserve"> </w:t>
      </w:r>
      <w:r>
        <w:t xml:space="preserve">Develop and expand circular/take-back programs (`ljpmoipdjm`) to extend product lifespan through repair, refurbishment, or remanufacturing, and ensure high-quality material recycling.</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jnqneunopf</dc:title>
  <dc:creator/>
  <dc:description>Detailed Product Carbon Footprint (PCF) analysis report for jnqneunopf, performed by mrwoxzoomy for urvzojqgwm, adhering to GHG Protocol and 2026 LSR Update requirements.</dc:description>
  <dc:language>en</dc:language>
  <cp:keywords/>
  <dcterms:created xsi:type="dcterms:W3CDTF">2026-07-15T09:11:34Z</dcterms:created>
  <dcterms:modified xsi:type="dcterms:W3CDTF">2026-07-15T09:11:34Z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