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jnfepiegvs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jnfepiegvs</w:t>
      </w:r>
    </w:p>
    <w:p>
      <w:pPr>
        <w:pStyle w:val="BodyText"/>
      </w:pPr>
      <w:r>
        <w:t xml:space="preserve">For Company: kwzlqkstmn</w:t>
      </w:r>
    </w:p>
    <w:p>
      <w:pPr>
        <w:pStyle w:val="BodyText"/>
      </w:pPr>
      <w:r>
        <w:t xml:space="preserve">Senior Sustainability Consultant: kkllqpwxsm</w:t>
      </w:r>
    </w:p>
    <w:p>
      <w:pPr>
        <w:pStyle w:val="BodyText"/>
      </w:pPr>
      <w:r>
        <w:t xml:space="preserve">Protocol Data (Accounting Standard): GHG Protocol</w:t>
      </w:r>
    </w:p>
    <w:p>
      <w:pPr>
        <w:pStyle w:val="BodyText"/>
      </w:pPr>
      <w:r>
        <w:t xml:space="preserve">Disclaimer: This report is generated based on available data and industry standards. For a definitive analysis, primary and verified data specific to the product and its supply chain would be required. Placeholder values have been used where specific data was not provided in the prompt.</w:t>
      </w:r>
    </w:p>
    <w:bookmarkEnd w:id="20"/>
    <w:bookmarkStart w:id="46" w:name="X7e663a742bd9156febbdd7cd1a7096b73c394fb"/>
    <w:p>
      <w:pPr>
        <w:pStyle w:val="Heading1"/>
      </w:pPr>
      <w:r>
        <w:t xml:space="preserve">Product Carbon Footprint Analysis Report: jnfepiegvs</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kkllqpwxsm</w:t>
      </w:r>
    </w:p>
    <w:p>
      <w:pPr>
        <w:pStyle w:val="BodyText"/>
      </w:pPr>
      <w:r>
        <w:rPr>
          <w:bCs/>
          <w:b/>
        </w:rPr>
        <w:t xml:space="preserve">Company Name:</w:t>
      </w:r>
      <w:r>
        <w:t xml:space="preserve"> </w:t>
      </w:r>
      <w:r>
        <w:t xml:space="preserve">kwzlqkstmn</w:t>
      </w:r>
    </w:p>
    <w:p>
      <w:pPr>
        <w:pStyle w:val="BodyText"/>
      </w:pPr>
      <w:r>
        <w:rPr>
          <w:bCs/>
          <w:b/>
        </w:rPr>
        <w:t xml:space="preserve">Accounting Standard:</w:t>
      </w:r>
      <w:r>
        <w:t xml:space="preserve"> </w:t>
      </w:r>
      <w:r>
        <w:t xml:space="preserve">GHG Protocol</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jnfepiegvs, manufactured by kwzlqkstmn. The analysis adheres to the Greenhouse Gas (GHG) Protocol standards, categorizing emissions into Scope 1, Scope 2, and Scope 3, and incorporates considerations from the anticipated 2026 Land Sector and Removals (LSR) Standard update. The primary objective is to quantify the cradle-to-grave greenhouse gas emissions associated with one functional unit of jnfepiegvs, identify emission hotspots, and provide a foundational understanding for future emission reduction strategies. Due to the placeholder nature of some provided parameters, illustrative data, based on industry averages and expert estimates, has been used to demonstrate the methodology and calculation process.</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analysis for jnfepiegvs follows a five-step methodology in accordance with GHG Protocol guidelines: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stages, including raw material acquisition, manufacturing, transport, use, and end-of-life.</w:t>
      </w:r>
    </w:p>
    <w:p>
      <w:pPr>
        <w:numPr>
          <w:ilvl w:val="0"/>
          <w:numId w:val="1001"/>
        </w:numPr>
        <w:pStyle w:val="Compact"/>
      </w:pPr>
      <w:r>
        <w:rPr>
          <w:bCs/>
          <w:b/>
        </w:rPr>
        <w:t xml:space="preserve">Collect Data:</w:t>
      </w:r>
      <w:r>
        <w:t xml:space="preserve"> </w:t>
      </w:r>
      <w:r>
        <w:t xml:space="preserve">Gathering of primary and secondary data points for all identified life cycle stages. For this report, where specific data was provided as a placeholder, illustrative values have been applied.</w:t>
      </w:r>
    </w:p>
    <w:p>
      <w:pPr>
        <w:numPr>
          <w:ilvl w:val="0"/>
          <w:numId w:val="1001"/>
        </w:numPr>
        <w:pStyle w:val="Compact"/>
      </w:pPr>
      <w:r>
        <w:rPr>
          <w:bCs/>
          <w:b/>
        </w:rPr>
        <w:t xml:space="preserve">Calculate Emissions:</w:t>
      </w:r>
      <w:r>
        <w:t xml:space="preserve"> </w:t>
      </w:r>
      <w:r>
        <w:t xml:space="preserve">Quantification of GHG emissions by multiplying activity data by appropriate emission factors (Activity × Emission Factor = CO2e). Emissions are categorized by GHG Protocol Scopes.</w:t>
      </w:r>
    </w:p>
    <w:p>
      <w:pPr>
        <w:numPr>
          <w:ilvl w:val="0"/>
          <w:numId w:val="1001"/>
        </w:numPr>
        <w:pStyle w:val="Compact"/>
      </w:pPr>
      <w:r>
        <w:rPr>
          <w:bCs/>
          <w:b/>
        </w:rPr>
        <w:t xml:space="preserve">Review &amp; Report:</w:t>
      </w:r>
      <w:r>
        <w:t xml:space="preserve"> </w:t>
      </w:r>
      <w:r>
        <w:t xml:space="preserve">Analysis of results, identification of emission hotspots, assessment of data reliability, and formulation of recommendations.</w:t>
      </w:r>
    </w:p>
    <w:bookmarkStart w:id="22" w:name="ghg-protocol-adherence-and-2026-updates"/>
    <w:p>
      <w:pPr>
        <w:pStyle w:val="Heading3"/>
      </w:pPr>
      <w:r>
        <w:t xml:space="preserve">GHG Protocol Adherence and 2026 Updates:</w:t>
      </w:r>
    </w:p>
    <w:p>
      <w:pPr>
        <w:numPr>
          <w:ilvl w:val="0"/>
          <w:numId w:val="1002"/>
        </w:numPr>
        <w:pStyle w:val="Compact"/>
      </w:pPr>
      <w:r>
        <w:rPr>
          <w:bCs/>
          <w:b/>
        </w:rPr>
        <w:t xml:space="preserve">GHG Protocol Categorization:</w:t>
      </w:r>
      <w:r>
        <w:t xml:space="preserve"> </w:t>
      </w:r>
      <w:r>
        <w:t xml:space="preserve">Emissions are systematically categorized into Scope 1 (direct emissions from owned or controlled sources), Scope 2 (indirect emissions from the generation of purchased energy), and Scope 3 (all other indirect emissions in the value chain).</w:t>
      </w:r>
    </w:p>
    <w:p>
      <w:pPr>
        <w:numPr>
          <w:ilvl w:val="0"/>
          <w:numId w:val="1002"/>
        </w:numPr>
        <w:pStyle w:val="Compact"/>
      </w:pPr>
      <w:r>
        <w:rPr>
          <w:bCs/>
          <w:b/>
        </w:rPr>
        <w:t xml:space="preserve">2026 LSR Update Application:</w:t>
      </w:r>
      <w:r>
        <w:t xml:space="preserve"> </w:t>
      </w:r>
      <w:r>
        <w:t xml:space="preserve">The analysis considers the Land Sector and Removals (LSR) Standard, published January 30, 2026, and effective January 1, 2027. This standard provides accounting requirements for land sector activities and CO2 removals. While specific land-use data for jnfepiegvs was not provided, the methodology acknowledges the importance of integrating such data where relevant, particularly for agricultural production and direct land-use change. Forest carbon accounting is not included in the initial version of the LSR Standard.</w:t>
      </w:r>
    </w:p>
    <w:p>
      <w:pPr>
        <w:numPr>
          <w:ilvl w:val="0"/>
          <w:numId w:val="1002"/>
        </w:numPr>
        <w:pStyle w:val="Compact"/>
      </w:pPr>
      <w:r>
        <w:rPr>
          <w:bCs/>
          <w:b/>
        </w:rPr>
        <w:t xml:space="preserve">Scope 3 Compliance (2026 Requirements):</w:t>
      </w:r>
      <w:r>
        <w:t xml:space="preserve"> </w:t>
      </w:r>
      <w:r>
        <w:t xml:space="preserve">This report targets at least 95% coverage for Scope 3 reporting, aligning with the 2026 requirements which emphasize comprehensive and auditable disclosure. The 95% completeness rule applies to *required* Scope 3 emissions, with any justified exclusions not exceeding 5% and requiring transparent disclosure.</w:t>
      </w:r>
    </w:p>
    <w:p>
      <w:r>
        <w:pict>
          <v:rect style="width:0;height:1.5pt" o:hralign="center" o:hrstd="t" o:hr="t"/>
        </w:pict>
      </w:r>
    </w:p>
    <w:bookmarkEnd w:id="22"/>
    <w:bookmarkEnd w:id="23"/>
    <w:bookmarkStart w:id="31" w:name="X68656feba921ab823c7efe8f7949360d40eaf57"/>
    <w:p>
      <w:pPr>
        <w:pStyle w:val="Heading2"/>
      </w:pPr>
      <w:r>
        <w:t xml:space="preserve">3. Product Carbon Footprint Analysis for jnfepiegvs</w:t>
      </w:r>
    </w:p>
    <w:bookmarkStart w:id="24" w:name="define-scope"/>
    <w:p>
      <w:pPr>
        <w:pStyle w:val="Heading3"/>
      </w:pPr>
      <w:r>
        <w:t xml:space="preserve">3.1. Define Scope</w:t>
      </w:r>
    </w:p>
    <w:p>
      <w:pPr>
        <w:numPr>
          <w:ilvl w:val="0"/>
          <w:numId w:val="1003"/>
        </w:numPr>
        <w:pStyle w:val="Compact"/>
      </w:pPr>
      <w:r>
        <w:rPr>
          <w:bCs/>
          <w:b/>
        </w:rPr>
        <w:t xml:space="preserve">Functional Unit:</w:t>
      </w:r>
      <w:r>
        <w:t xml:space="preserve"> </w:t>
      </w:r>
      <w:r>
        <w:t xml:space="preserve">1.0 unit of jnfepiegvs.</w:t>
      </w:r>
    </w:p>
    <w:p>
      <w:pPr>
        <w:numPr>
          <w:ilvl w:val="0"/>
          <w:numId w:val="1003"/>
        </w:numPr>
        <w:pStyle w:val="Compact"/>
      </w:pPr>
      <w:r>
        <w:rPr>
          <w:bCs/>
          <w:b/>
        </w:rPr>
        <w:t xml:space="preserve">System Boundary:</w:t>
      </w:r>
      <w:r>
        <w:t xml:space="preserve"> </w:t>
      </w:r>
      <w:r>
        <w:t xml:space="preserve">While the primary production (manufacturing) phase adheres to a \'factory_gate\' boundary, the overall PCF analysis extends to a \'cradle-to-grave\' approach to incorporate transport, use-phase, and end-of-life impacts as per the detailed parameters provided. This broader scope is necessary for a comprehensive product-level assessment.</w:t>
      </w:r>
    </w:p>
    <w:p>
      <w:pPr>
        <w:numPr>
          <w:ilvl w:val="0"/>
          <w:numId w:val="1003"/>
        </w:numPr>
        <w:pStyle w:val="Compact"/>
      </w:pPr>
      <w:r>
        <w:rPr>
          <w:bCs/>
          <w:b/>
        </w:rPr>
        <w:t xml:space="preserve">Geographic Scope:</w:t>
      </w:r>
      <w:r>
        <w:t xml:space="preserve"> </w:t>
      </w:r>
      <w:r>
        <w:t xml:space="preserve">Final Production Country: China. Supply Chain Focus: Europe Focused. This implies raw material sourcing from Europe, production in China, and distribution back to Europe.</w:t>
      </w:r>
    </w:p>
    <w:p>
      <w:pPr>
        <w:numPr>
          <w:ilvl w:val="0"/>
          <w:numId w:val="1003"/>
        </w:numPr>
        <w:pStyle w:val="Compact"/>
      </w:pPr>
      <w:r>
        <w:rPr>
          <w:bCs/>
          <w:b/>
        </w:rPr>
        <w:t xml:space="preserve">Allocation:</w:t>
      </w:r>
      <w:r>
        <w:t xml:space="preserve"> </w:t>
      </w:r>
      <w:r>
        <w:t xml:space="preserve">Mass-based allocation is applied where co-products or by-products may occur. For end-of-life, the avoided burden approach is considered for recycled materials.</w:t>
      </w:r>
    </w:p>
    <w:bookmarkEnd w:id="24"/>
    <w:bookmarkStart w:id="30" w:name="Xabf4b1670c540693ae1905dd7f82e914dd40197"/>
    <w:p>
      <w:pPr>
        <w:pStyle w:val="Heading3"/>
      </w:pPr>
      <w:r>
        <w:t xml:space="preserve">3.2. Map Lifecycle and Collect Data (LCI Inventory Stages)</w:t>
      </w:r>
    </w:p>
    <w:p>
      <w:pPr>
        <w:pStyle w:val="FirstParagraph"/>
      </w:pPr>
      <w:r>
        <w:t xml:space="preserve">The lifecycle of jnfepiegvs is broken down into the following stages, with data collected or illustratively assumed:</w:t>
      </w:r>
    </w:p>
    <w:bookmarkStart w:id="25" w:name="X713a789d0ff6c06bf0abf24561b8f662b892808"/>
    <w:p>
      <w:pPr>
        <w:pStyle w:val="Heading4"/>
      </w:pPr>
      <w:r>
        <w:t xml:space="preserve">3.2.1. Raw Materials Acquisition &amp; Pre-processing (Upstream Scope 3)</w:t>
      </w:r>
    </w:p>
    <w:p>
      <w:pPr>
        <w:pStyle w:val="FirstParagraph"/>
      </w:pPr>
      <w:r>
        <w:t xml:space="preserve">The "Detailed Bill of Materials (BOM): dykzhxwu" was provided as a placeholder. For the purpose of demonstrating the high-accuracy material impact calculation, the following illustrative BOM data, structured according to the specified format (ID, Description, Category, Process, Qty, Unit, Emission Factor, Total Carbon), has been used. The \'Total Carbon\' values are directly utilized for material impact calculation as per the prompt\'s instruction.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(illustrative)</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 (illustrative)</w:t>
            </w:r>
          </w:p>
        </w:tc>
        <w:tc>
          <w:tcPr/>
          <w:p>
            <w:pPr>
              <w:pStyle w:val="Compact"/>
              <w:jc w:val="left"/>
            </w:pPr>
            <w:r>
              <w:t xml:space="preserve">0.50</w:t>
            </w:r>
          </w:p>
        </w:tc>
      </w:tr>
      <w:tr>
        <w:tc>
          <w:tcPr/>
          <w:p>
            <w:pPr>
              <w:pStyle w:val="Compact"/>
              <w:jc w:val="left"/>
            </w:pPr>
            <w:r>
              <w:t xml:space="preserve">MAT003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 (illustrative)</w:t>
            </w:r>
          </w:p>
        </w:tc>
        <w:tc>
          <w:tcPr/>
          <w:p>
            <w:pPr>
              <w:pStyle w:val="Compact"/>
              <w:jc w:val="left"/>
            </w:pPr>
            <w:r>
              <w:t xml:space="preserve">1.20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 (illustrative)</w:t>
            </w:r>
          </w:p>
        </w:tc>
        <w:tc>
          <w:tcPr/>
          <w:p>
            <w:pPr>
              <w:pStyle w:val="Compact"/>
              <w:jc w:val="left"/>
            </w:pPr>
            <w:r>
              <w:t xml:space="preserve">1.00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 (illustrative)</w:t>
            </w:r>
          </w:p>
        </w:tc>
        <w:tc>
          <w:tcPr/>
          <w:p>
            <w:pPr>
              <w:pStyle w:val="Compact"/>
              <w:jc w:val="left"/>
            </w:pPr>
            <w:r>
              <w:t xml:space="preserve">0.08</w:t>
            </w:r>
          </w:p>
        </w:tc>
      </w:tr>
      <w:tr>
        <w:tc>
          <w:tcPr/>
          <w:p>
            <w:pPr>
              <w:pStyle w:val="Compact"/>
              <w:jc w:val="left"/>
            </w:pPr>
            <w:r>
              <w:t xml:space="preserve">MAT006</w:t>
            </w:r>
          </w:p>
        </w:tc>
        <w:tc>
          <w:tcPr/>
          <w:p>
            <w:pPr>
              <w:pStyle w:val="Compact"/>
              <w:jc w:val="left"/>
            </w:pPr>
            <w:r>
              <w:t xml:space="preserve">Small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 (illustrative)</w:t>
            </w:r>
          </w:p>
        </w:tc>
        <w:tc>
          <w:tcPr/>
          <w:p>
            <w:pPr>
              <w:pStyle w:val="Compact"/>
              <w:jc w:val="left"/>
            </w:pPr>
            <w:r>
              <w:t xml:space="preserve">0.05</w:t>
            </w:r>
          </w:p>
        </w:tc>
      </w:tr>
    </w:tbl>
    <w:bookmarkEnd w:id="25"/>
    <w:bookmarkStart w:id="26" w:name="Xbf1519246221f1c859ba26075acc944b4bfaf0a"/>
    <w:p>
      <w:pPr>
        <w:pStyle w:val="Heading4"/>
      </w:pPr>
      <w:r>
        <w:t xml:space="preserve">3.2.2. Manufacturing (Production Phase - Scope 1 &amp; 2, partial Scope 3)</w:t>
      </w:r>
    </w:p>
    <w:p>
      <w:pPr>
        <w:numPr>
          <w:ilvl w:val="0"/>
          <w:numId w:val="1004"/>
        </w:numPr>
        <w:pStyle w:val="Compact"/>
      </w:pPr>
      <w:r>
        <w:rPr>
          <w:bCs/>
          <w:b/>
        </w:rPr>
        <w:t xml:space="preserve">Company Name:</w:t>
      </w:r>
      <w:r>
        <w:t xml:space="preserve"> </w:t>
      </w:r>
      <w:r>
        <w:t xml:space="preserve">kwzlqkstmn</w:t>
      </w:r>
    </w:p>
    <w:p>
      <w:pPr>
        <w:numPr>
          <w:ilvl w:val="0"/>
          <w:numId w:val="1004"/>
        </w:numPr>
        <w:pStyle w:val="Compact"/>
      </w:pPr>
      <w:r>
        <w:rPr>
          <w:bCs/>
          <w:b/>
        </w:rPr>
        <w:t xml:space="preserve">Energy Intensity (kWh/unit):</w:t>
      </w:r>
      <w:r>
        <w:t xml:space="preserve"> </w:t>
      </w:r>
      <w:r>
        <w:t xml:space="preserve">The provided parameter "fyyyljfxit" is a placeholder. An illustrative value of</w:t>
      </w:r>
      <w:r>
        <w:t xml:space="preserve"> </w:t>
      </w:r>
      <w:r>
        <w:rPr>
          <w:bCs/>
          <w:b/>
        </w:rPr>
        <w:t xml:space="preserve">10 kWh/unit</w:t>
      </w:r>
      <w:r>
        <w:t xml:space="preserve"> </w:t>
      </w:r>
      <w:r>
        <w:t xml:space="preserve">is used for calculation.</w:t>
      </w:r>
    </w:p>
    <w:p>
      <w:pPr>
        <w:numPr>
          <w:ilvl w:val="0"/>
          <w:numId w:val="1004"/>
        </w:numPr>
        <w:pStyle w:val="Compact"/>
      </w:pPr>
      <w:r>
        <w:rPr>
          <w:bCs/>
          <w:b/>
        </w:rPr>
        <w:t xml:space="preserve">Renewable Energy Usage:</w:t>
      </w:r>
      <w:r>
        <w:t xml:space="preserve"> </w:t>
      </w:r>
      <w:r>
        <w:t xml:space="preserve">The provided parameter "kqzlxlqymq" is a placeholder. An illustrative value of</w:t>
      </w:r>
      <w:r>
        <w:t xml:space="preserve"> </w:t>
      </w:r>
      <w:r>
        <w:rPr>
          <w:bCs/>
          <w:b/>
        </w:rPr>
        <w:t xml:space="preserve">30% renewable energy usage</w:t>
      </w:r>
      <w:r>
        <w:t xml:space="preserve"> </w:t>
      </w:r>
      <w:r>
        <w:t xml:space="preserve">for production electricity is assumed. This will reduce grid-based emissions.</w:t>
      </w:r>
    </w:p>
    <w:p>
      <w:pPr>
        <w:numPr>
          <w:ilvl w:val="0"/>
          <w:numId w:val="1004"/>
        </w:numPr>
        <w:pStyle w:val="Compact"/>
      </w:pPr>
      <w:r>
        <w:rPr>
          <w:bCs/>
          <w:b/>
        </w:rPr>
        <w:t xml:space="preserve">Geographic Location (Production):</w:t>
      </w:r>
      <w:r>
        <w:t xml:space="preserve"> </w:t>
      </w:r>
      <w:r>
        <w:t xml:space="preserve">China.</w:t>
      </w:r>
    </w:p>
    <w:p>
      <w:pPr>
        <w:numPr>
          <w:ilvl w:val="0"/>
          <w:numId w:val="1004"/>
        </w:numPr>
        <w:pStyle w:val="Compact"/>
      </w:pPr>
      <w:r>
        <w:rPr>
          <w:bCs/>
          <w:b/>
        </w:rPr>
        <w:t xml:space="preserve">Scope 1 Emissions:</w:t>
      </w:r>
      <w:r>
        <w:t xml:space="preserve"> </w:t>
      </w:r>
      <w:r>
        <w:t xml:space="preserve">Direct emissions from manufacturing. For this product-level analysis focusing on purchased electricity for energy-intensive processes, Scope 1 (e.g., on-site fuel combustion not for electricity) is assumed negligible or zero for the \'factory_gate\' boundary, unless specific fuel consumption data is provided.</w:t>
      </w:r>
    </w:p>
    <w:bookmarkEnd w:id="26"/>
    <w:bookmarkStart w:id="27" w:name="transport-upstream-downstream-scope-3"/>
    <w:p>
      <w:pPr>
        <w:pStyle w:val="Heading4"/>
      </w:pPr>
      <w:r>
        <w:t xml:space="preserve">3.2.3. Transport (Upstream &amp; Downstream Scope 3)</w:t>
      </w:r>
    </w:p>
    <w:p>
      <w:pPr>
        <w:pStyle w:val="FirstParagraph"/>
      </w:pPr>
      <w:r>
        <w:t xml:space="preserve">The logistics data provided were placeholders, namely "Transport Mode: Select Mode", "Transport Distance: nmysyyzlyf", and "Last-Mile Delivery Channel: Delivery Type". Illustrative data has been used to demonstrate the calculation:</w:t>
      </w:r>
    </w:p>
    <w:p>
      <w:pPr>
        <w:numPr>
          <w:ilvl w:val="0"/>
          <w:numId w:val="1005"/>
        </w:numPr>
        <w:pStyle w:val="Compact"/>
      </w:pPr>
      <w:r>
        <w:rPr>
          <w:bCs/>
          <w:b/>
        </w:rPr>
        <w:t xml:space="preserve">Illustrative Transport Mode:</w:t>
      </w:r>
      <w:r>
        <w:t xml:space="preserve"> </w:t>
      </w:r>
      <w:r>
        <w:t xml:space="preserve">Ocean Freight (Intercontinental for materials from Europe to China, and finished goods from China to Europe) and Road Freight (Primary Distribution in Europe, and Last-Mile Delivery).</w:t>
      </w:r>
    </w:p>
    <w:p>
      <w:pPr>
        <w:numPr>
          <w:ilvl w:val="0"/>
          <w:numId w:val="1005"/>
        </w:numPr>
        <w:pStyle w:val="Compact"/>
      </w:pPr>
      <w:r>
        <w:rPr>
          <w:bCs/>
          <w:b/>
        </w:rPr>
        <w:t xml:space="preserve">Illustrative Transport Distance:</w:t>
      </w:r>
    </w:p>
    <w:p>
      <w:pPr>
        <w:numPr>
          <w:ilvl w:val="1"/>
          <w:numId w:val="1006"/>
        </w:numPr>
        <w:pStyle w:val="Compact"/>
      </w:pPr>
      <w:r>
        <w:rPr>
          <w:bCs/>
          <w:b/>
        </w:rPr>
        <w:t xml:space="preserve">Inbound (Raw Materials to China factory):</w:t>
      </w:r>
      <w:r>
        <w:t xml:space="preserve"> </w:t>
      </w:r>
      <w:r>
        <w:t xml:space="preserve">8,000 km (Ocean Freight) + 200 km (Road Freight). This is an illustrative breakdown of the placeholder "nmysyyzlyf".</w:t>
      </w:r>
    </w:p>
    <w:p>
      <w:pPr>
        <w:numPr>
          <w:ilvl w:val="1"/>
          <w:numId w:val="1006"/>
        </w:numPr>
        <w:pStyle w:val="Compact"/>
      </w:pPr>
      <w:r>
        <w:rPr>
          <w:bCs/>
          <w:b/>
        </w:rPr>
        <w:t xml:space="preserve">Outbound (Finished Product from China factory to European distribution hub):</w:t>
      </w:r>
      <w:r>
        <w:t xml:space="preserve"> </w:t>
      </w:r>
      <w:r>
        <w:t xml:space="preserve">8,000 km (Ocean Freight) + 300 km (Road Freight).</w:t>
      </w:r>
    </w:p>
    <w:p>
      <w:pPr>
        <w:numPr>
          <w:ilvl w:val="0"/>
          <w:numId w:val="1005"/>
        </w:numPr>
        <w:pStyle w:val="Compact"/>
      </w:pPr>
      <w:r>
        <w:rPr>
          <w:bCs/>
          <w:b/>
        </w:rPr>
        <w:t xml:space="preserve">Illustrative Last-Mile Delivery Channel:</w:t>
      </w:r>
      <w:r>
        <w:t xml:space="preserve"> </w:t>
      </w:r>
      <w:r>
        <w:t xml:space="preserve">Home Delivery.</w:t>
      </w:r>
    </w:p>
    <w:bookmarkEnd w:id="27"/>
    <w:bookmarkStart w:id="28" w:name="use-phase-downstream-scope-3"/>
    <w:p>
      <w:pPr>
        <w:pStyle w:val="Heading4"/>
      </w:pPr>
      <w:r>
        <w:t xml:space="preserve">3.2.4. Use Phase (Downstream Scope 3)</w:t>
      </w:r>
    </w:p>
    <w:p>
      <w:pPr>
        <w:pStyle w:val="FirstParagraph"/>
      </w:pPr>
      <w:r>
        <w:t xml:space="preserve">The parameters "Product Lifespan: plshwletkz" and "Energy Consumption in Use: utzgkqgvii" were placeholders. Illustrative values are used:</w:t>
      </w:r>
    </w:p>
    <w:p>
      <w:pPr>
        <w:numPr>
          <w:ilvl w:val="0"/>
          <w:numId w:val="1007"/>
        </w:numPr>
        <w:pStyle w:val="Compact"/>
      </w:pPr>
      <w:r>
        <w:rPr>
          <w:bCs/>
          <w:b/>
        </w:rPr>
        <w:t xml:space="preserve">Illustrative Product Lifespan:</w:t>
      </w:r>
      <w:r>
        <w:t xml:space="preserve"> </w:t>
      </w:r>
      <w:r>
        <w:t xml:space="preserve">5 years.</w:t>
      </w:r>
    </w:p>
    <w:p>
      <w:pPr>
        <w:numPr>
          <w:ilvl w:val="0"/>
          <w:numId w:val="1007"/>
        </w:numPr>
        <w:pStyle w:val="Compact"/>
      </w:pPr>
      <w:r>
        <w:rPr>
          <w:bCs/>
          <w:b/>
        </w:rPr>
        <w:t xml:space="preserve">Illustrative Energy Consumption in Use:</w:t>
      </w:r>
      <w:r>
        <w:t xml:space="preserve"> </w:t>
      </w:r>
      <w:r>
        <w:t xml:space="preserve">20 kWh/year.</w:t>
      </w:r>
    </w:p>
    <w:bookmarkEnd w:id="28"/>
    <w:bookmarkStart w:id="29" w:name="end-of-life-eol-downstream-scope-3"/>
    <w:p>
      <w:pPr>
        <w:pStyle w:val="Heading4"/>
      </w:pPr>
      <w:r>
        <w:t xml:space="preserve">3.2.5. End-of-Life (EoL) (Downstream Scope 3)</w:t>
      </w:r>
    </w:p>
    <w:p>
      <w:pPr>
        <w:pStyle w:val="FirstParagraph"/>
      </w:pPr>
      <w:r>
        <w:t xml:space="preserve">The parameters "Recyclability Percentage: qyfedvujmu" and "Circular/Take-back Programs: hlvwxffmgi" were placeholders. Illustrative values are used:</w:t>
      </w:r>
    </w:p>
    <w:p>
      <w:pPr>
        <w:numPr>
          <w:ilvl w:val="0"/>
          <w:numId w:val="1008"/>
        </w:numPr>
        <w:pStyle w:val="Compact"/>
      </w:pPr>
      <w:r>
        <w:rPr>
          <w:bCs/>
          <w:b/>
        </w:rPr>
        <w:t xml:space="preserve">Illustrative Recyclability Percentage:</w:t>
      </w:r>
      <w:r>
        <w:t xml:space="preserve"> </w:t>
      </w:r>
      <w:r>
        <w:t xml:space="preserve">70%.</w:t>
      </w:r>
    </w:p>
    <w:p>
      <w:pPr>
        <w:numPr>
          <w:ilvl w:val="0"/>
          <w:numId w:val="1008"/>
        </w:numPr>
        <w:pStyle w:val="Compact"/>
      </w:pPr>
      <w:r>
        <w:rPr>
          <w:bCs/>
          <w:b/>
        </w:rPr>
        <w:t xml:space="preserve">Illustrative Circular/Take-back Programs:</w:t>
      </w:r>
      <w:r>
        <w:t xml:space="preserve"> </w:t>
      </w:r>
      <w:r>
        <w:t xml:space="preserve">Yes, with an assumed 10% material recovery/closed-loop benefit for eligible components, reflecting the avoided emissions from virgin material production.</w:t>
      </w:r>
    </w:p>
    <w:p>
      <w:r>
        <w:pict>
          <v:rect style="width:0;height:1.5pt" o:hralign="center" o:hrstd="t" o:hr="t"/>
        </w:pict>
      </w:r>
    </w:p>
    <w:bookmarkEnd w:id="29"/>
    <w:bookmarkEnd w:id="30"/>
    <w:bookmarkEnd w:id="31"/>
    <w:bookmarkStart w:id="41" w:name="X2c62247db19834934c44c209ad423fe06ba5c64"/>
    <w:p>
      <w:pPr>
        <w:pStyle w:val="Heading2"/>
      </w:pPr>
      <w:r>
        <w:t xml:space="preserve">4. Calculation of Emissions (Activity × Emission Factor = CO2e)</w:t>
      </w:r>
    </w:p>
    <w:p>
      <w:pPr>
        <w:pStyle w:val="FirstParagraph"/>
      </w:pPr>
      <w:r>
        <w:t xml:space="preserve">For calculations, industry-standard emission factors (or illustrative values based on them) are applied. All values are in kg CO2e per functional unit unless specified otherwise.</w:t>
      </w:r>
    </w:p>
    <w:bookmarkStart w:id="32" w:name="emission-factors-used-illustrative"/>
    <w:p>
      <w:pPr>
        <w:pStyle w:val="Heading3"/>
      </w:pPr>
      <w:r>
        <w:t xml:space="preserve">4.1. Emission Factors Used (Illustrative)</w:t>
      </w:r>
    </w:p>
    <w:p>
      <w:pPr>
        <w:numPr>
          <w:ilvl w:val="0"/>
          <w:numId w:val="1009"/>
        </w:numPr>
        <w:pStyle w:val="Compact"/>
      </w:pPr>
      <w:r>
        <w:rPr>
          <w:bCs/>
          <w:b/>
        </w:rPr>
        <w:t xml:space="preserve">Electricity Grid (China):</w:t>
      </w:r>
      <w:r>
        <w:t xml:space="preserve"> </w:t>
      </w:r>
      <w:r>
        <w:t xml:space="preserve">0.6 kgCO2e/kWh (Illustrative average, considering a mix of energy sources).</w:t>
      </w:r>
    </w:p>
    <w:p>
      <w:pPr>
        <w:numPr>
          <w:ilvl w:val="0"/>
          <w:numId w:val="1009"/>
        </w:numPr>
        <w:pStyle w:val="Compact"/>
      </w:pPr>
      <w:r>
        <w:rPr>
          <w:bCs/>
          <w:b/>
        </w:rPr>
        <w:t xml:space="preserve">Ocean Freight:</w:t>
      </w:r>
      <w:r>
        <w:t xml:space="preserve"> </w:t>
      </w:r>
      <w:r>
        <w:t xml:space="preserve">0.01 kgCO2e/tonne-km.</w:t>
      </w:r>
    </w:p>
    <w:p>
      <w:pPr>
        <w:numPr>
          <w:ilvl w:val="0"/>
          <w:numId w:val="1009"/>
        </w:numPr>
        <w:pStyle w:val="Compact"/>
      </w:pPr>
      <w:r>
        <w:rPr>
          <w:bCs/>
          <w:b/>
        </w:rPr>
        <w:t xml:space="preserve">Road Freight (HGV, European focus):</w:t>
      </w:r>
      <w:r>
        <w:t xml:space="preserve"> </w:t>
      </w:r>
      <w:r>
        <w:t xml:space="preserve">0.09 kgCO2e/tonne-km (Well-to-Wheel, for primary distribution).</w:t>
      </w:r>
    </w:p>
    <w:p>
      <w:pPr>
        <w:numPr>
          <w:ilvl w:val="0"/>
          <w:numId w:val="1009"/>
        </w:numPr>
        <w:pStyle w:val="Compact"/>
      </w:pPr>
      <w:r>
        <w:rPr>
          <w:bCs/>
          <w:b/>
        </w:rPr>
        <w:t xml:space="preserve">Last-Mile Delivery:</w:t>
      </w:r>
      <w:r>
        <w:t xml:space="preserve"> </w:t>
      </w:r>
      <w:r>
        <w:t xml:space="preserve">0.2 kgCO2e/unit (per parcel basis).</w:t>
      </w:r>
    </w:p>
    <w:p>
      <w:pPr>
        <w:numPr>
          <w:ilvl w:val="0"/>
          <w:numId w:val="1009"/>
        </w:numPr>
        <w:pStyle w:val="Compact"/>
      </w:pPr>
      <w:r>
        <w:rPr>
          <w:bCs/>
          <w:b/>
        </w:rPr>
        <w:t xml:space="preserve">End-of-Life (Recycling Credit):</w:t>
      </w:r>
      <w:r>
        <w:t xml:space="preserve"> </w:t>
      </w:r>
      <w:r>
        <w:t xml:space="preserve">Assumed 70% of virgin material emission factor is avoided for recyclable materials.</w:t>
      </w:r>
    </w:p>
    <w:bookmarkEnd w:id="32"/>
    <w:bookmarkStart w:id="39" w:name="emissions-by-life-cycle-stage"/>
    <w:p>
      <w:pPr>
        <w:pStyle w:val="Heading3"/>
      </w:pPr>
      <w:r>
        <w:t xml:space="preserve">4.2. Emissions by Life Cycle Stage</w:t>
      </w:r>
    </w:p>
    <w:bookmarkStart w:id="33" w:name="Xec277e6c2a00a7a41e52a41bc20c7995fd358e0"/>
    <w:p>
      <w:pPr>
        <w:pStyle w:val="Heading4"/>
      </w:pPr>
      <w:r>
        <w:t xml:space="preserve">4.2.1. Raw Materials (Scope 3 - Upstream, Category 1: Purchased Goods and Services)</w:t>
      </w:r>
    </w:p>
    <w:p>
      <w:pPr>
        <w:pStyle w:val="FirstParagraph"/>
      </w:pPr>
      <w:r>
        <w:t xml:space="preserve">Calculated directly from the \'Total Carbon\' provided in the illustrative BOM:</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3.50</w:t>
            </w:r>
          </w:p>
        </w:tc>
      </w:tr>
      <w:tr>
        <w:tc>
          <w:tcPr/>
          <w:p>
            <w:pPr>
              <w:pStyle w:val="Compact"/>
              <w:jc w:val="left"/>
            </w:pPr>
            <w:r>
              <w:t xml:space="preserve">Plastic Housing</w:t>
            </w:r>
          </w:p>
        </w:tc>
        <w:tc>
          <w:tcPr/>
          <w:p>
            <w:pPr>
              <w:pStyle w:val="Compact"/>
              <w:jc w:val="left"/>
            </w:pPr>
            <w:r>
              <w:t xml:space="preserve">0.50</w:t>
            </w:r>
          </w:p>
        </w:tc>
      </w:tr>
      <w:tr>
        <w:tc>
          <w:tcPr/>
          <w:p>
            <w:pPr>
              <w:pStyle w:val="Compact"/>
              <w:jc w:val="left"/>
            </w:pPr>
            <w:r>
              <w:t xml:space="preserve">Circuit Board (PCB)</w:t>
            </w:r>
          </w:p>
        </w:tc>
        <w:tc>
          <w:tcPr/>
          <w:p>
            <w:pPr>
              <w:pStyle w:val="Compact"/>
              <w:jc w:val="left"/>
            </w:pPr>
            <w:r>
              <w:t xml:space="preserve">1.20</w:t>
            </w:r>
          </w:p>
        </w:tc>
      </w:tr>
      <w:tr>
        <w:tc>
          <w:tcPr/>
          <w:p>
            <w:pPr>
              <w:pStyle w:val="Compact"/>
              <w:jc w:val="left"/>
            </w:pPr>
            <w:r>
              <w:t xml:space="preserve">Lithium-ion Battery</w:t>
            </w:r>
          </w:p>
        </w:tc>
        <w:tc>
          <w:tcPr/>
          <w:p>
            <w:pPr>
              <w:pStyle w:val="Compact"/>
              <w:jc w:val="left"/>
            </w:pPr>
            <w:r>
              <w:t xml:space="preserve">1.00</w:t>
            </w:r>
          </w:p>
        </w:tc>
      </w:tr>
      <w:tr>
        <w:tc>
          <w:tcPr/>
          <w:p>
            <w:pPr>
              <w:pStyle w:val="Compact"/>
              <w:jc w:val="left"/>
            </w:pPr>
            <w:r>
              <w:t xml:space="preserve">Packaging Cardboard</w:t>
            </w:r>
          </w:p>
        </w:tc>
        <w:tc>
          <w:tcPr/>
          <w:p>
            <w:pPr>
              <w:pStyle w:val="Compact"/>
              <w:jc w:val="left"/>
            </w:pPr>
            <w:r>
              <w:t xml:space="preserve">0.08</w:t>
            </w:r>
          </w:p>
        </w:tc>
      </w:tr>
      <w:tr>
        <w:tc>
          <w:tcPr/>
          <w:p>
            <w:pPr>
              <w:pStyle w:val="Compact"/>
              <w:jc w:val="left"/>
            </w:pPr>
            <w:r>
              <w:t xml:space="preserve">Small Fasteners</w:t>
            </w:r>
          </w:p>
        </w:tc>
        <w:tc>
          <w:tcPr/>
          <w:p>
            <w:pPr>
              <w:pStyle w:val="Compact"/>
              <w:jc w:val="left"/>
            </w:pPr>
            <w:r>
              <w:t xml:space="preserve">0.05</w:t>
            </w:r>
          </w:p>
        </w:tc>
      </w:tr>
      <w:tr>
        <w:tc>
          <w:tcPr/>
          <w:p>
            <w:pPr>
              <w:pStyle w:val="Compact"/>
              <w:jc w:val="left"/>
            </w:pPr>
            <w:r>
              <w:rPr>
                <w:bCs/>
                <w:b/>
              </w:rPr>
              <w:t xml:space="preserve">Total Raw Materials Emissions</w:t>
            </w:r>
          </w:p>
        </w:tc>
        <w:tc>
          <w:tcPr/>
          <w:p>
            <w:pPr>
              <w:pStyle w:val="Compact"/>
              <w:jc w:val="left"/>
            </w:pPr>
            <w:r>
              <w:rPr>
                <w:bCs/>
                <w:b/>
              </w:rPr>
              <w:t xml:space="preserve">6.33 kgCO2e</w:t>
            </w:r>
          </w:p>
        </w:tc>
      </w:tr>
    </w:tbl>
    <w:bookmarkEnd w:id="33"/>
    <w:bookmarkStart w:id="34" w:name="manufacturing-scope-2-scope-1"/>
    <w:p>
      <w:pPr>
        <w:pStyle w:val="Heading4"/>
      </w:pPr>
      <w:r>
        <w:t xml:space="preserve">4.2.2. Manufacturing (Scope 2 &amp; Scope 1)</w:t>
      </w:r>
    </w:p>
    <w:p>
      <w:pPr>
        <w:pStyle w:val="FirstParagraph"/>
      </w:pPr>
      <w:r>
        <w:rPr>
          <w:bCs/>
          <w:b/>
        </w:rPr>
        <w:t xml:space="preserve">Energy Consumption:</w:t>
      </w:r>
      <w:r>
        <w:t xml:space="preserve"> </w:t>
      </w:r>
      <w:r>
        <w:t xml:space="preserve">10 kWh/unit [illustrative].</w:t>
      </w:r>
    </w:p>
    <w:p>
      <w:pPr>
        <w:pStyle w:val="BodyText"/>
      </w:pPr>
      <w:r>
        <w:rPr>
          <w:bCs/>
          <w:b/>
        </w:rPr>
        <w:t xml:space="preserve">Renewable Energy Usage:</w:t>
      </w:r>
      <w:r>
        <w:t xml:space="preserve"> </w:t>
      </w:r>
      <w:r>
        <w:t xml:space="preserve">30% [illustrative].</w:t>
      </w:r>
    </w:p>
    <w:p>
      <w:pPr>
        <w:pStyle w:val="BodyText"/>
      </w:pPr>
      <w:r>
        <w:rPr>
          <w:bCs/>
          <w:b/>
        </w:rPr>
        <w:t xml:space="preserve">Grid Electricity Emission Factor (China):</w:t>
      </w:r>
      <w:r>
        <w:t xml:space="preserve"> </w:t>
      </w:r>
      <w:r>
        <w:t xml:space="preserve">0.6 kgCO2e/kWh [illustrative].</w:t>
      </w:r>
    </w:p>
    <w:p>
      <w:pPr>
        <w:pStyle w:val="BodyText"/>
      </w:pPr>
      <w:r>
        <w:rPr>
          <w:bCs/>
          <w:b/>
        </w:rPr>
        <w:t xml:space="preserve">Non-Renewable Energy Consumption:</w:t>
      </w:r>
      <w:r>
        <w:t xml:space="preserve"> </w:t>
      </w:r>
      <w:r>
        <w:t xml:space="preserve">10 kWh/unit * (1 - 0.30) = 7 kWh/unit.</w:t>
      </w:r>
    </w:p>
    <w:p>
      <w:pPr>
        <w:pStyle w:val="BodyText"/>
      </w:pPr>
      <w:r>
        <w:rPr>
          <w:bCs/>
          <w:b/>
        </w:rPr>
        <w:t xml:space="preserve">Manufacturing Emissions (Scope 2):</w:t>
      </w:r>
      <w:r>
        <w:t xml:space="preserve"> </w:t>
      </w:r>
      <w:r>
        <w:t xml:space="preserve">7 kWh/unit * 0.6 kgCO2e/kWh =</w:t>
      </w:r>
      <w:r>
        <w:t xml:space="preserve"> </w:t>
      </w:r>
      <w:r>
        <w:rPr>
          <w:bCs/>
          <w:b/>
        </w:rPr>
        <w:t xml:space="preserve">4.20 kgCO2e</w:t>
      </w:r>
      <w:r>
        <w:t xml:space="preserve">.</w:t>
      </w:r>
    </w:p>
    <w:p>
      <w:pPr>
        <w:pStyle w:val="BodyText"/>
      </w:pPr>
      <w:r>
        <w:rPr>
          <w:bCs/>
          <w:b/>
        </w:rPr>
        <w:t xml:space="preserve">Scope 1 Emissions:</w:t>
      </w:r>
      <w:r>
        <w:t xml:space="preserve"> </w:t>
      </w:r>
      <w:r>
        <w:t xml:space="preserve">Assumed negligible for direct fuel combustion in this factory-gate focused production stage, given the energy intensity primarily covers electricity. Any direct process emissions not covered by electricity (e.g., from chemical reactions) would be included if specific data were available.</w:t>
      </w:r>
    </w:p>
    <w:bookmarkEnd w:id="34"/>
    <w:bookmarkStart w:id="35" w:name="X68dd94bc6c82d123297bc9b2bcff917f28a2fee"/>
    <w:p>
      <w:pPr>
        <w:pStyle w:val="Heading4"/>
      </w:pPr>
      <w:r>
        <w:t xml:space="preserve">4.2.3. Transport (Scope 3 - Upstream &amp; Downstream, Category 4 &amp; 9)</w:t>
      </w:r>
    </w:p>
    <w:p>
      <w:pPr>
        <w:pStyle w:val="FirstParagraph"/>
      </w:pPr>
      <w:r>
        <w:t xml:space="preserve">Assumptions for goods weight: Total illustrative BOM materials = 0.5+0.2+1.0+0.05+0.1+0.01 = 1.86 kg. Assume finished product weight is 2 kg for transport calculations (including packaging).</w:t>
      </w:r>
    </w:p>
    <w:p>
      <w:pPr>
        <w:numPr>
          <w:ilvl w:val="0"/>
          <w:numId w:val="1010"/>
        </w:numPr>
        <w:pStyle w:val="Compact"/>
      </w:pPr>
      <w:r>
        <w:rPr>
          <w:bCs/>
          <w:b/>
        </w:rPr>
        <w:t xml:space="preserve">Inbound Transport (Raw Materials from Europe to China factory):</w:t>
      </w:r>
    </w:p>
    <w:p>
      <w:pPr>
        <w:numPr>
          <w:ilvl w:val="1"/>
          <w:numId w:val="1011"/>
        </w:numPr>
        <w:pStyle w:val="Compact"/>
      </w:pPr>
      <w:r>
        <w:t xml:space="preserve">Mass: 1.86 kg (total raw materials)</w:t>
      </w:r>
    </w:p>
    <w:p>
      <w:pPr>
        <w:numPr>
          <w:ilvl w:val="1"/>
          <w:numId w:val="1011"/>
        </w:numPr>
        <w:pStyle w:val="Compact"/>
      </w:pPr>
      <w:r>
        <w:t xml:space="preserve">Ocean Distance: 8,000 km [illustrative]</w:t>
      </w:r>
    </w:p>
    <w:p>
      <w:pPr>
        <w:numPr>
          <w:ilvl w:val="1"/>
          <w:numId w:val="1011"/>
        </w:numPr>
        <w:pStyle w:val="Compact"/>
      </w:pPr>
      <w:r>
        <w:t xml:space="preserve">Ocean Emissions: 1.86 kg * 0.01 kgCO2e/tonne-km * 8,000 km / 1000 kg/tonne = 0.1488 kgCO2e</w:t>
      </w:r>
    </w:p>
    <w:p>
      <w:pPr>
        <w:numPr>
          <w:ilvl w:val="1"/>
          <w:numId w:val="1011"/>
        </w:numPr>
        <w:pStyle w:val="Compact"/>
      </w:pPr>
      <w:r>
        <w:t xml:space="preserve">Road Distance: 200 km [illustrative]</w:t>
      </w:r>
    </w:p>
    <w:p>
      <w:pPr>
        <w:numPr>
          <w:ilvl w:val="1"/>
          <w:numId w:val="1011"/>
        </w:numPr>
        <w:pStyle w:val="Compact"/>
      </w:pPr>
      <w:r>
        <w:t xml:space="preserve">Road Emissions: 1.86 kg * 0.09 kgCO2e/tonne-km * 200 km / 1000 kg/tonne = 0.0335 kgCO2e</w:t>
      </w:r>
    </w:p>
    <w:p>
      <w:pPr>
        <w:numPr>
          <w:ilvl w:val="1"/>
          <w:numId w:val="1011"/>
        </w:numPr>
        <w:pStyle w:val="Compact"/>
      </w:pPr>
      <w:r>
        <w:rPr>
          <w:bCs/>
          <w:b/>
        </w:rPr>
        <w:t xml:space="preserve">Sub-total Inbound Transport:</w:t>
      </w:r>
      <w:r>
        <w:t xml:space="preserve"> </w:t>
      </w:r>
      <w:r>
        <w:t xml:space="preserve">0.1488 + 0.0335 =</w:t>
      </w:r>
      <w:r>
        <w:t xml:space="preserve"> </w:t>
      </w:r>
      <w:r>
        <w:rPr>
          <w:bCs/>
          <w:b/>
        </w:rPr>
        <w:t xml:space="preserve">0.18 kgCO2e</w:t>
      </w:r>
      <w:r>
        <w:t xml:space="preserve"> </w:t>
      </w:r>
      <w:r>
        <w:t xml:space="preserve">(rounded)</w:t>
      </w:r>
    </w:p>
    <w:p>
      <w:pPr>
        <w:numPr>
          <w:ilvl w:val="0"/>
          <w:numId w:val="1010"/>
        </w:numPr>
        <w:pStyle w:val="Compact"/>
      </w:pPr>
      <w:r>
        <w:rPr>
          <w:bCs/>
          <w:b/>
        </w:rPr>
        <w:t xml:space="preserve">Outbound Transport (Finished Product from China factory to European distribution hub):</w:t>
      </w:r>
    </w:p>
    <w:p>
      <w:pPr>
        <w:numPr>
          <w:ilvl w:val="1"/>
          <w:numId w:val="1012"/>
        </w:numPr>
        <w:pStyle w:val="Compact"/>
      </w:pPr>
      <w:r>
        <w:t xml:space="preserve">Mass: 2 kg (finished product)</w:t>
      </w:r>
    </w:p>
    <w:p>
      <w:pPr>
        <w:numPr>
          <w:ilvl w:val="1"/>
          <w:numId w:val="1012"/>
        </w:numPr>
        <w:pStyle w:val="Compact"/>
      </w:pPr>
      <w:r>
        <w:t xml:space="preserve">Ocean Distance: 8,000 km [illustrative]</w:t>
      </w:r>
    </w:p>
    <w:p>
      <w:pPr>
        <w:numPr>
          <w:ilvl w:val="1"/>
          <w:numId w:val="1012"/>
        </w:numPr>
        <w:pStyle w:val="Compact"/>
      </w:pPr>
      <w:r>
        <w:t xml:space="preserve">Ocean Emissions: 2 kg * 0.01 kgCO2e/tonne-km * 8,000 km / 1000 kg/tonne = 0.160 kgCO2e</w:t>
      </w:r>
    </w:p>
    <w:p>
      <w:pPr>
        <w:numPr>
          <w:ilvl w:val="1"/>
          <w:numId w:val="1012"/>
        </w:numPr>
        <w:pStyle w:val="Compact"/>
      </w:pPr>
      <w:r>
        <w:t xml:space="preserve">Road Distance (Primary Distribution): 300 km [illustrative]</w:t>
      </w:r>
    </w:p>
    <w:p>
      <w:pPr>
        <w:numPr>
          <w:ilvl w:val="1"/>
          <w:numId w:val="1012"/>
        </w:numPr>
        <w:pStyle w:val="Compact"/>
      </w:pPr>
      <w:r>
        <w:t xml:space="preserve">Road Emissions: 2 kg * 0.09 kgCO2e/tonne-km * 300 km / 1000 kg/tonne = 0.054 kgCO2e</w:t>
      </w:r>
    </w:p>
    <w:p>
      <w:pPr>
        <w:numPr>
          <w:ilvl w:val="1"/>
          <w:numId w:val="1012"/>
        </w:numPr>
        <w:pStyle w:val="Compact"/>
      </w:pPr>
      <w:r>
        <w:rPr>
          <w:bCs/>
          <w:b/>
        </w:rPr>
        <w:t xml:space="preserve">Sub-total Outbound Transport (Primary):</w:t>
      </w:r>
      <w:r>
        <w:t xml:space="preserve"> </w:t>
      </w:r>
      <w:r>
        <w:t xml:space="preserve">0.160 + 0.054 =</w:t>
      </w:r>
      <w:r>
        <w:t xml:space="preserve"> </w:t>
      </w:r>
      <w:r>
        <w:rPr>
          <w:bCs/>
          <w:b/>
        </w:rPr>
        <w:t xml:space="preserve">0.214 kgCO2e</w:t>
      </w:r>
      <w:r>
        <w:t xml:space="preserve"> </w:t>
      </w:r>
      <w:r>
        <w:t xml:space="preserve">(rounded)</w:t>
      </w:r>
    </w:p>
    <w:p>
      <w:pPr>
        <w:numPr>
          <w:ilvl w:val="0"/>
          <w:numId w:val="1010"/>
        </w:numPr>
        <w:pStyle w:val="Compact"/>
      </w:pPr>
      <w:r>
        <w:rPr>
          <w:bCs/>
          <w:b/>
        </w:rPr>
        <w:t xml:space="preserve">Last-Mile Delivery (Home Delivery):</w:t>
      </w:r>
    </w:p>
    <w:p>
      <w:pPr>
        <w:numPr>
          <w:ilvl w:val="1"/>
          <w:numId w:val="1013"/>
        </w:numPr>
        <w:pStyle w:val="Compact"/>
      </w:pPr>
      <w:r>
        <w:t xml:space="preserve">Emissions per unit: 0.2 kgCO2e/unit [illustrative].</w:t>
      </w:r>
    </w:p>
    <w:p>
      <w:pPr>
        <w:numPr>
          <w:ilvl w:val="1"/>
          <w:numId w:val="1013"/>
        </w:numPr>
        <w:pStyle w:val="Compact"/>
      </w:pPr>
      <w:r>
        <w:rPr>
          <w:bCs/>
          <w:b/>
        </w:rPr>
        <w:t xml:space="preserve">Total Last-Mile Emissions:</w:t>
      </w:r>
      <w:r>
        <w:t xml:space="preserve"> </w:t>
      </w:r>
      <w:r>
        <w:t xml:space="preserve">1 unit * 0.2 kgCO2e/unit =</w:t>
      </w:r>
      <w:r>
        <w:t xml:space="preserve"> </w:t>
      </w:r>
      <w:r>
        <w:rPr>
          <w:bCs/>
          <w:b/>
        </w:rPr>
        <w:t xml:space="preserve">0.20 kgCO2e</w:t>
      </w:r>
    </w:p>
    <w:p>
      <w:pPr>
        <w:numPr>
          <w:ilvl w:val="0"/>
          <w:numId w:val="1010"/>
        </w:numPr>
        <w:pStyle w:val="Compact"/>
      </w:pPr>
      <w:r>
        <w:rPr>
          <w:bCs/>
          <w:b/>
        </w:rPr>
        <w:t xml:space="preserve">Total Transport Emissions:</w:t>
      </w:r>
      <w:r>
        <w:t xml:space="preserve"> </w:t>
      </w:r>
      <w:r>
        <w:t xml:space="preserve">0.18 + 0.214 + 0.20 =</w:t>
      </w:r>
      <w:r>
        <w:t xml:space="preserve"> </w:t>
      </w:r>
      <w:r>
        <w:rPr>
          <w:bCs/>
          <w:b/>
        </w:rPr>
        <w:t xml:space="preserve">0.594 kgCO2e</w:t>
      </w:r>
      <w:r>
        <w:t xml:space="preserve"> </w:t>
      </w:r>
      <w:r>
        <w:t xml:space="preserve">(rounded to 0.59 kgCO2e)</w:t>
      </w:r>
    </w:p>
    <w:bookmarkEnd w:id="35"/>
    <w:bookmarkStart w:id="36" w:name="X9710a1f2b0e729ce5517b1e51ea26033b8823d9"/>
    <w:p>
      <w:pPr>
        <w:pStyle w:val="Heading4"/>
      </w:pPr>
      <w:r>
        <w:t xml:space="preserve">4.2.4. Use Phase (Scope 3 - Downstream, Category 11: Use of Sold Products)</w:t>
      </w:r>
    </w:p>
    <w:p>
      <w:pPr>
        <w:pStyle w:val="FirstParagraph"/>
      </w:pPr>
      <w:r>
        <w:rPr>
          <w:bCs/>
          <w:b/>
        </w:rPr>
        <w:t xml:space="preserve">Product Lifespan:</w:t>
      </w:r>
      <w:r>
        <w:t xml:space="preserve"> </w:t>
      </w:r>
      <w:r>
        <w:t xml:space="preserve">5 years [illustrative].</w:t>
      </w:r>
    </w:p>
    <w:p>
      <w:pPr>
        <w:pStyle w:val="BodyText"/>
      </w:pPr>
      <w:r>
        <w:rPr>
          <w:bCs/>
          <w:b/>
        </w:rPr>
        <w:t xml:space="preserve">Energy Consumption in Use:</w:t>
      </w:r>
      <w:r>
        <w:t xml:space="preserve"> </w:t>
      </w:r>
      <w:r>
        <w:t xml:space="preserve">20 kWh/year [illustrative].</w:t>
      </w:r>
    </w:p>
    <w:p>
      <w:pPr>
        <w:pStyle w:val="BodyText"/>
      </w:pPr>
      <w:r>
        <w:rPr>
          <w:bCs/>
          <w:b/>
        </w:rPr>
        <w:t xml:space="preserve">Electricity Grid Emission Factor (Europe, illustrative for user):</w:t>
      </w:r>
      <w:r>
        <w:t xml:space="preserve"> </w:t>
      </w:r>
      <w:r>
        <w:t xml:space="preserve">Assuming an illustrative average of 0.3 kgCO2e/kWh for European grid mix for use phase.</w:t>
      </w:r>
    </w:p>
    <w:p>
      <w:pPr>
        <w:pStyle w:val="BodyText"/>
      </w:pPr>
      <w:r>
        <w:rPr>
          <w:bCs/>
          <w:b/>
        </w:rPr>
        <w:t xml:space="preserve">Total Use Phase Emissions:</w:t>
      </w:r>
      <w:r>
        <w:t xml:space="preserve"> </w:t>
      </w:r>
      <w:r>
        <w:t xml:space="preserve">20 kWh/year * 5 years * 0.3 kgCO2e/kWh =</w:t>
      </w:r>
      <w:r>
        <w:t xml:space="preserve"> </w:t>
      </w:r>
      <w:r>
        <w:rPr>
          <w:bCs/>
          <w:b/>
        </w:rPr>
        <w:t xml:space="preserve">30.00 kgCO2e</w:t>
      </w:r>
      <w:r>
        <w:t xml:space="preserve">.</w:t>
      </w:r>
    </w:p>
    <w:bookmarkEnd w:id="36"/>
    <w:bookmarkStart w:id="37" w:name="Xffe1abf316537a5785744a45507f685a7eb8026"/>
    <w:p>
      <w:pPr>
        <w:pStyle w:val="Heading4"/>
      </w:pPr>
      <w:r>
        <w:t xml:space="preserve">4.2.5. End-of-Life (EoL) (Scope 3 - Downstream, Category 12: End-of-Life Treatment of Sold Products)</w:t>
      </w:r>
    </w:p>
    <w:p>
      <w:pPr>
        <w:pStyle w:val="FirstParagraph"/>
      </w:pPr>
      <w:r>
        <w:rPr>
          <w:bCs/>
          <w:b/>
        </w:rPr>
        <w:t xml:space="preserve">Recyclability Percentage:</w:t>
      </w:r>
      <w:r>
        <w:t xml:space="preserve"> </w:t>
      </w:r>
      <w:r>
        <w:t xml:space="preserve">70% [illustrative].</w:t>
      </w:r>
    </w:p>
    <w:p>
      <w:pPr>
        <w:pStyle w:val="BodyText"/>
      </w:pPr>
      <w:r>
        <w:rPr>
          <w:bCs/>
          <w:b/>
        </w:rPr>
        <w:t xml:space="preserve">Circular/Take-back Programs:</w:t>
      </w:r>
      <w:r>
        <w:t xml:space="preserve"> </w:t>
      </w:r>
      <w:r>
        <w:t xml:space="preserve">Yes, with 10% material recovery/closed-loop benefit [illustrative].</w:t>
      </w:r>
    </w:p>
    <w:p>
      <w:pPr>
        <w:pStyle w:val="BodyText"/>
      </w:pPr>
      <w:r>
        <w:t xml:space="preserve">For simplicity, we\'ll assume the remaining 30% of materials go to landfill or incineration, incurring a small emission burden. For the 70% recycled, an avoided burden approach is used where a credit is applied for the virgin material production displaced.</w:t>
      </w:r>
    </w:p>
    <w:p>
      <w:pPr>
        <w:numPr>
          <w:ilvl w:val="0"/>
          <w:numId w:val="1014"/>
        </w:numPr>
        <w:pStyle w:val="Compact"/>
      </w:pPr>
      <w:r>
        <w:rPr>
          <w:bCs/>
          <w:b/>
        </w:rPr>
        <w:t xml:space="preserve">Materials to be Recycled:</w:t>
      </w:r>
      <w:r>
        <w:t xml:space="preserve"> </w:t>
      </w:r>
      <w:r>
        <w:t xml:space="preserve">Approx. 70% of 1.86 kg (raw materials mass) = 1.302 kg.</w:t>
      </w:r>
    </w:p>
    <w:p>
      <w:pPr>
        <w:numPr>
          <w:ilvl w:val="0"/>
          <w:numId w:val="1014"/>
        </w:numPr>
        <w:pStyle w:val="Compact"/>
      </w:pPr>
      <w:r>
        <w:rPr>
          <w:bCs/>
          <w:b/>
        </w:rPr>
        <w:t xml:space="preserve">Avoided Emissions (Credit):</w:t>
      </w:r>
      <w:r>
        <w:t xml:space="preserve"> </w:t>
      </w:r>
      <w:r>
        <w:t xml:space="preserve">Assuming an average avoided burden of 70% of original material emissions for the recycled portion (1.302 kg / 1.86 kg * 6.33 kgCO2e) * 0.7 = 3.12 kgCO2e credit.</w:t>
      </w:r>
    </w:p>
    <w:p>
      <w:pPr>
        <w:numPr>
          <w:ilvl w:val="0"/>
          <w:numId w:val="1014"/>
        </w:numPr>
        <w:pStyle w:val="Compact"/>
      </w:pPr>
      <w:r>
        <w:rPr>
          <w:bCs/>
          <w:b/>
        </w:rPr>
        <w:t xml:space="preserve">Disposal Emissions (30%):</w:t>
      </w:r>
      <w:r>
        <w:t xml:space="preserve"> </w:t>
      </w:r>
      <w:r>
        <w:t xml:space="preserve">Assuming the remaining 30% of material (0.558 kg) results in a small positive emission from landfill/incineration. Illustrative factor: 0.5 kgCO2e/kg. Thus, 0.558 kg * 0.5 kgCO2e/kg = 0.279 kgCO2e.</w:t>
      </w:r>
    </w:p>
    <w:p>
      <w:pPr>
        <w:numPr>
          <w:ilvl w:val="0"/>
          <w:numId w:val="1014"/>
        </w:numPr>
        <w:pStyle w:val="Compact"/>
      </w:pPr>
      <w:r>
        <w:rPr>
          <w:bCs/>
          <w:b/>
        </w:rPr>
        <w:t xml:space="preserve">Circular Program Benefit:</w:t>
      </w:r>
      <w:r>
        <w:t xml:space="preserve"> </w:t>
      </w:r>
      <w:r>
        <w:t xml:space="preserve">An additional 10% reduction on net EoL emissions due to robust take-back programs and high-quality material recovery is applied.</w:t>
      </w:r>
      <w:r>
        <w:br/>
      </w:r>
      <w:r>
        <w:t xml:space="preserve">Net EoL (before circular program benefit) = 0.279 kgCO2e - 3.12 kgCO2e = -2.841 kgCO2e.</w:t>
      </w:r>
      <w:r>
        <w:br/>
      </w:r>
      <w:r>
        <w:t xml:space="preserve">With 10% benefit: -2.841 kgCO2e * (1 - 0.10) = -2.5569 kgCO2e.</w:t>
      </w:r>
    </w:p>
    <w:p>
      <w:pPr>
        <w:numPr>
          <w:ilvl w:val="0"/>
          <w:numId w:val="1014"/>
        </w:numPr>
        <w:pStyle w:val="Compact"/>
      </w:pPr>
      <w:r>
        <w:rPr>
          <w:bCs/>
          <w:b/>
        </w:rPr>
        <w:t xml:space="preserve">Total End-of-Life Emissions:</w:t>
      </w:r>
      <w:r>
        <w:t xml:space="preserve"> </w:t>
      </w:r>
      <w:r>
        <w:rPr>
          <w:bCs/>
          <w:b/>
        </w:rPr>
        <w:t xml:space="preserve">-2.56 kgCO2e</w:t>
      </w:r>
      <w:r>
        <w:t xml:space="preserve"> </w:t>
      </w:r>
      <w:r>
        <w:t xml:space="preserve">(Credit for circularity and recycling).</w:t>
      </w:r>
    </w:p>
    <w:bookmarkEnd w:id="37"/>
    <w:bookmarkStart w:id="38" w:name="total-product-carbon-footprint"/>
    <w:p>
      <w:pPr>
        <w:pStyle w:val="Heading4"/>
      </w:pPr>
      <w:r>
        <w:t xml:space="preserve">4.2.6. Total Product Carbon Footprint</w:t>
      </w:r>
    </w:p>
    <w:p>
      <w:pPr>
        <w:pStyle w:val="FirstParagraph"/>
      </w:pPr>
      <w:r>
        <w:t xml:space="preserve">Summing up emissions from all stages:</w:t>
      </w:r>
    </w:p>
    <w:p>
      <w:pPr>
        <w:pStyle w:val="BodyText"/>
      </w:pPr>
      <w:r>
        <w:t xml:space="preserve">Raw Materials: 6.33 kgCO2e</w:t>
      </w:r>
    </w:p>
    <w:p>
      <w:pPr>
        <w:pStyle w:val="BodyText"/>
      </w:pPr>
      <w:r>
        <w:t xml:space="preserve">Manufacturing (Scope 2): 4.20 kgCO2e</w:t>
      </w:r>
    </w:p>
    <w:p>
      <w:pPr>
        <w:pStyle w:val="BodyText"/>
      </w:pPr>
      <w:r>
        <w:t xml:space="preserve">Transport: 0.59 kgCO2e</w:t>
      </w:r>
    </w:p>
    <w:p>
      <w:pPr>
        <w:pStyle w:val="BodyText"/>
      </w:pPr>
      <w:r>
        <w:t xml:space="preserve">Use Phase: 30.00 kgCO2e</w:t>
      </w:r>
    </w:p>
    <w:p>
      <w:pPr>
        <w:pStyle w:val="BodyText"/>
      </w:pPr>
      <w:r>
        <w:t xml:space="preserve">End-of-Life: -2.56 kgCO2e</w:t>
      </w:r>
    </w:p>
    <w:p>
      <w:pPr>
        <w:pStyle w:val="BodyText"/>
      </w:pPr>
      <w:r>
        <w:rPr>
          <w:bCs/>
          <w:b/>
        </w:rPr>
        <w:t xml:space="preserve">Total PCF (jnfepiegvs) = 6.33 + 4.20 + 0.59 + 30.00 - 2.56 = 38.56 kgCO2e per unit</w:t>
      </w:r>
    </w:p>
    <w:bookmarkEnd w:id="38"/>
    <w:bookmarkEnd w:id="39"/>
    <w:bookmarkStart w:id="40" w:name="ghg-protocol-scopes-summary"/>
    <w:p>
      <w:pPr>
        <w:pStyle w:val="Heading3"/>
      </w:pPr>
      <w:r>
        <w:t xml:space="preserve">4.3. GHG Protocol Scopes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 (Illustrative)</w:t>
            </w:r>
          </w:p>
        </w:tc>
        <w:tc>
          <w:tcPr/>
          <w:p>
            <w:pPr>
              <w:pStyle w:val="Compact"/>
              <w:jc w:val="left"/>
            </w:pPr>
            <w:r>
              <w:t xml:space="preserve">Emissions (kgCO2e/unit)</w:t>
            </w:r>
          </w:p>
        </w:tc>
        <w:tc>
          <w:tcPr/>
          <w:p>
            <w:pPr>
              <w:pStyle w:val="Compact"/>
              <w:jc w:val="left"/>
            </w:pPr>
            <w:r>
              <w:t xml:space="preserve">Coverage Notes</w:t>
            </w:r>
          </w:p>
        </w:tc>
      </w:tr>
      <w:tr>
        <w:tc>
          <w:tcPr/>
          <w:p>
            <w:pPr>
              <w:pStyle w:val="Compact"/>
              <w:jc w:val="left"/>
            </w:pPr>
            <w:r>
              <w:rPr>
                <w:bCs/>
                <w:b/>
              </w:rPr>
              <w:t xml:space="preserve">Scope 1</w:t>
            </w:r>
          </w:p>
        </w:tc>
        <w:tc>
          <w:tcPr/>
          <w:p>
            <w:pPr>
              <w:pStyle w:val="Compact"/>
              <w:jc w:val="left"/>
            </w:pPr>
            <w:r>
              <w:t xml:space="preserve">Direct Emissions (e.g., owned facilities)</w:t>
            </w:r>
          </w:p>
        </w:tc>
        <w:tc>
          <w:tcPr/>
          <w:p>
            <w:pPr>
              <w:pStyle w:val="Compact"/>
              <w:jc w:val="left"/>
            </w:pPr>
            <w:r>
              <w:t xml:space="preserve">0.00</w:t>
            </w:r>
          </w:p>
        </w:tc>
        <w:tc>
          <w:tcPr/>
          <w:p>
            <w:pPr>
              <w:pStyle w:val="Compact"/>
              <w:jc w:val="left"/>
            </w:pPr>
            <w:r>
              <w:t xml:space="preserve">Assumed negligible for production; no direct fuel use data provided.</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4.20</w:t>
            </w:r>
          </w:p>
        </w:tc>
        <w:tc>
          <w:tcPr/>
          <w:p>
            <w:pPr>
              <w:pStyle w:val="Compact"/>
              <w:jc w:val="left"/>
            </w:pPr>
            <w:r>
              <w:t xml:space="preserve">Based on energy intensity and non-renewable grid mix.</w:t>
            </w:r>
          </w:p>
        </w:tc>
      </w:tr>
      <w:tr>
        <w:tc>
          <w:tcPr/>
          <w:p>
            <w:pPr>
              <w:pStyle w:val="Compact"/>
              <w:jc w:val="left"/>
            </w:pPr>
            <w:r>
              <w:rPr>
                <w:bCs/>
                <w:b/>
              </w:rPr>
              <w:t xml:space="preserve">Scope 3</w:t>
            </w:r>
          </w:p>
        </w:tc>
        <w:tc>
          <w:tcPr/>
          <w:p>
            <w:pPr>
              <w:pStyle w:val="Compact"/>
              <w:jc w:val="left"/>
            </w:pPr>
            <w:r>
              <w:t xml:space="preserve">Category 1: Purchased Goods &amp; Services (Materials)</w:t>
            </w:r>
          </w:p>
        </w:tc>
        <w:tc>
          <w:tcPr/>
          <w:p>
            <w:pPr>
              <w:pStyle w:val="Compact"/>
              <w:jc w:val="left"/>
            </w:pPr>
            <w:r>
              <w:t xml:space="preserve">6.33</w:t>
            </w:r>
          </w:p>
        </w:tc>
        <w:tc>
          <w:tcPr/>
          <w:p>
            <w:pPr>
              <w:pStyle w:val="Compact"/>
              <w:jc w:val="left"/>
            </w:pPr>
            <w:r>
              <w:t xml:space="preserve">From illustrative BOM.</w:t>
            </w:r>
          </w:p>
        </w:tc>
      </w:tr>
      <w:tr>
        <w:tc>
          <w:tcPr/>
          <w:p>
            <w:pPr>
              <w:pStyle w:val="Compact"/>
            </w:pPr>
          </w:p>
        </w:tc>
        <w:tc>
          <w:tcPr/>
          <w:p>
            <w:pPr>
              <w:pStyle w:val="Compact"/>
              <w:jc w:val="left"/>
            </w:pPr>
            <w:r>
              <w:t xml:space="preserve">Category 4: Upstream Transportation &amp; Distribution</w:t>
            </w:r>
          </w:p>
        </w:tc>
        <w:tc>
          <w:tcPr/>
          <w:p>
            <w:pPr>
              <w:pStyle w:val="Compact"/>
              <w:jc w:val="left"/>
            </w:pPr>
            <w:r>
              <w:t xml:space="preserve">0.18</w:t>
            </w:r>
          </w:p>
        </w:tc>
        <w:tc>
          <w:tcPr/>
          <w:p>
            <w:pPr>
              <w:pStyle w:val="Compact"/>
              <w:jc w:val="left"/>
            </w:pPr>
            <w:r>
              <w:t xml:space="preserve">Inbound raw material transport.</w:t>
            </w:r>
          </w:p>
        </w:tc>
      </w:tr>
      <w:tr>
        <w:tc>
          <w:tcPr/>
          <w:p>
            <w:pPr>
              <w:pStyle w:val="Compact"/>
            </w:pPr>
          </w:p>
        </w:tc>
        <w:tc>
          <w:tcPr/>
          <w:p>
            <w:pPr>
              <w:pStyle w:val="Compact"/>
              <w:jc w:val="left"/>
            </w:pPr>
            <w:r>
              <w:t xml:space="preserve">Category 9: Downstream Transportation &amp; Distribution</w:t>
            </w:r>
          </w:p>
        </w:tc>
        <w:tc>
          <w:tcPr/>
          <w:p>
            <w:pPr>
              <w:pStyle w:val="Compact"/>
              <w:jc w:val="left"/>
            </w:pPr>
            <w:r>
              <w:t xml:space="preserve">0.41</w:t>
            </w:r>
          </w:p>
        </w:tc>
        <w:tc>
          <w:tcPr/>
          <w:p>
            <w:pPr>
              <w:pStyle w:val="Compact"/>
              <w:jc w:val="left"/>
            </w:pPr>
            <w:r>
              <w:t xml:space="preserve">Outbound product transport (primary &amp; last-mile).</w:t>
            </w:r>
          </w:p>
        </w:tc>
      </w:tr>
      <w:tr>
        <w:tc>
          <w:tcPr/>
          <w:p>
            <w:pPr>
              <w:pStyle w:val="Compact"/>
            </w:pPr>
          </w:p>
        </w:tc>
        <w:tc>
          <w:tcPr/>
          <w:p>
            <w:pPr>
              <w:pStyle w:val="Compact"/>
              <w:jc w:val="left"/>
            </w:pPr>
            <w:r>
              <w:t xml:space="preserve">Category 11: Use of Sold Products</w:t>
            </w:r>
          </w:p>
        </w:tc>
        <w:tc>
          <w:tcPr/>
          <w:p>
            <w:pPr>
              <w:pStyle w:val="Compact"/>
              <w:jc w:val="left"/>
            </w:pPr>
            <w:r>
              <w:t xml:space="preserve">30.00</w:t>
            </w:r>
          </w:p>
        </w:tc>
        <w:tc>
          <w:tcPr/>
          <w:p>
            <w:pPr>
              <w:pStyle w:val="Compact"/>
              <w:jc w:val="left"/>
            </w:pPr>
            <w:r>
              <w:t xml:space="preserve">Based on product lifespan and energy consumption in use.</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-2.56</w:t>
            </w:r>
          </w:p>
        </w:tc>
        <w:tc>
          <w:tcPr/>
          <w:p>
            <w:pPr>
              <w:pStyle w:val="Compact"/>
              <w:jc w:val="left"/>
            </w:pPr>
            <w:r>
              <w:t xml:space="preserve">Credit for recycling and circular programs.</w:t>
            </w:r>
          </w:p>
        </w:tc>
      </w:tr>
      <w:tr>
        <w:tc>
          <w:tcPr>
            <w:gridSpan w:val="2"/>
          </w:tcPr>
          <w:p>
            <w:pPr>
              <w:pStyle w:val="Compact"/>
              <w:jc w:val="left"/>
            </w:pPr>
            <w:r>
              <w:rPr>
                <w:bCs/>
                <w:b/>
              </w:rPr>
              <w:t xml:space="preserve">Total Scope 3 Emissions</w:t>
            </w:r>
          </w:p>
        </w:tc>
        <w:tc>
          <w:tcPr/>
          <w:p>
            <w:pPr>
              <w:pStyle w:val="Compact"/>
              <w:jc w:val="left"/>
            </w:pPr>
            <w:r>
              <w:rPr>
                <w:bCs/>
                <w:b/>
              </w:rPr>
              <w:t xml:space="preserve">34.36</w:t>
            </w:r>
          </w:p>
        </w:tc>
        <w:tc>
          <w:tcPr/>
          <w:p>
            <w:pPr>
              <w:pStyle w:val="Compact"/>
              <w:jc w:val="left"/>
            </w:pPr>
            <w:r>
              <w:t xml:space="preserve">(6.33 + 0.18 + 0.41 + 30.00 - 2.56)</w:t>
            </w:r>
          </w:p>
        </w:tc>
      </w:tr>
      <w:tr>
        <w:tc>
          <w:tcPr>
            <w:gridSpan w:val="2"/>
          </w:tcPr>
          <w:p>
            <w:pPr>
              <w:pStyle w:val="Compact"/>
              <w:jc w:val="left"/>
            </w:pPr>
            <w:r>
              <w:rPr>
                <w:bCs/>
                <w:b/>
              </w:rPr>
              <w:t xml:space="preserve">Total Product Carbon Footprint</w:t>
            </w:r>
          </w:p>
        </w:tc>
        <w:tc>
          <w:tcPr/>
          <w:p>
            <w:pPr>
              <w:pStyle w:val="Compact"/>
              <w:jc w:val="left"/>
            </w:pPr>
            <w:r>
              <w:rPr>
                <w:bCs/>
                <w:b/>
              </w:rPr>
              <w:t xml:space="preserve">38.56 kgCO2e</w:t>
            </w:r>
          </w:p>
        </w:tc>
        <w:tc>
          <w:tcPr/>
          <w:p>
            <w:pPr>
              <w:pStyle w:val="Compact"/>
            </w:pPr>
          </w:p>
        </w:tc>
      </w:tr>
    </w:tbl>
    <w:p>
      <w:pPr>
        <w:pStyle w:val="BodyText"/>
      </w:pPr>
      <w:r>
        <w:rPr>
          <w:bCs/>
          <w:b/>
        </w:rPr>
        <w:t xml:space="preserve">Scope 3 Coverage:</w:t>
      </w:r>
      <w:r>
        <w:t xml:space="preserve"> </w:t>
      </w:r>
      <w:r>
        <w:t xml:space="preserve">Based on the categories included and the illustrative data used, the Scope 3 coverage is comprehensive, encompassing major upstream (materials, inbound transport) and downstream (outbound transport, use phase, end-of-life) categories, thus demonstrating adherence to the 95% coverage requirement in principle.</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primary emission hotspots for jnfepiegvs:</w:t>
      </w:r>
    </w:p>
    <w:p>
      <w:pPr>
        <w:numPr>
          <w:ilvl w:val="0"/>
          <w:numId w:val="1015"/>
        </w:numPr>
        <w:pStyle w:val="Compact"/>
      </w:pPr>
      <w:r>
        <w:rPr>
          <w:bCs/>
          <w:b/>
        </w:rPr>
        <w:t xml:space="preserve">Use Phase (30.00 kgCO2e):</w:t>
      </w:r>
      <w:r>
        <w:t xml:space="preserve"> </w:t>
      </w:r>
      <w:r>
        <w:t xml:space="preserve">This is the most significant contributor, primarily driven by the product\'s energy consumption over its 5-year illustrative lifespan and the assumed European electricity grid mix.</w:t>
      </w:r>
    </w:p>
    <w:p>
      <w:pPr>
        <w:numPr>
          <w:ilvl w:val="0"/>
          <w:numId w:val="1015"/>
        </w:numPr>
        <w:pStyle w:val="Compact"/>
      </w:pPr>
      <w:r>
        <w:rPr>
          <w:bCs/>
          <w:b/>
        </w:rPr>
        <w:t xml:space="preserve">Raw Materials (6.33 kgCO2e):</w:t>
      </w:r>
      <w:r>
        <w:t xml:space="preserve"> </w:t>
      </w:r>
      <w:r>
        <w:t xml:space="preserve">The production of materials, particularly Aluminum Casing and Lithium-ion Battery, represents a substantial portion of the upstream footprint.</w:t>
      </w:r>
    </w:p>
    <w:p>
      <w:pPr>
        <w:numPr>
          <w:ilvl w:val="0"/>
          <w:numId w:val="1015"/>
        </w:numPr>
        <w:pStyle w:val="Compact"/>
      </w:pPr>
      <w:r>
        <w:rPr>
          <w:bCs/>
          <w:b/>
        </w:rPr>
        <w:t xml:space="preserve">Manufacturing (4.20 kgCO2e):</w:t>
      </w:r>
      <w:r>
        <w:t xml:space="preserve"> </w:t>
      </w:r>
      <w:r>
        <w:t xml:space="preserve">Energy consumption during the production process in China, despite the assumed 30% renewable energy usage, still contributes significantly due to the carbon intensity of the residual grid electricity.</w:t>
      </w:r>
    </w:p>
    <w:bookmarkEnd w:id="42"/>
    <w:bookmarkStart w:id="43" w:name="reliability-and-data-quality"/>
    <w:p>
      <w:pPr>
        <w:pStyle w:val="Heading3"/>
      </w:pPr>
      <w:r>
        <w:t xml:space="preserve">5.2. Reliability and Data Quality</w:t>
      </w:r>
    </w:p>
    <w:p>
      <w:pPr>
        <w:pStyle w:val="FirstParagraph"/>
      </w:pPr>
      <w:r>
        <w:t xml:space="preserve">The reliability of this report is directly dependent on the accuracy and completeness of the input data. As many parameters were provided as placeholders (e.g., `dykzhxwu` for BOM, `nmysyyzlyf` for transport distance, `fyyyljfxit` for energy intensity, etc.), illustrative values derived from general industry data and expert judgment were used for calculations. For a real, auditable PCF analysis, primary data directly from suppliers, manufacturing facilities, and logistics providers would be crucial. The emission factors used are illustrative and represent industry averages; specific, verified data from databases like Ecoinvent or DEFRA would enhance accuracy.</w:t>
      </w:r>
    </w:p>
    <w:bookmarkEnd w:id="43"/>
    <w:bookmarkStart w:id="44" w:name="recommendations-for-emission-reduction"/>
    <w:p>
      <w:pPr>
        <w:pStyle w:val="Heading3"/>
      </w:pPr>
      <w:r>
        <w:t xml:space="preserve">5.3. Recommendations for Emission Reduction</w:t>
      </w:r>
    </w:p>
    <w:p>
      <w:pPr>
        <w:pStyle w:val="FirstParagraph"/>
      </w:pPr>
      <w:r>
        <w:t xml:space="preserve">Based on the identified hotspots, kwzlqkstmn can focus on the following strategies to reduce the PCF of jnfepiegvs:</w:t>
      </w:r>
    </w:p>
    <w:p>
      <w:pPr>
        <w:numPr>
          <w:ilvl w:val="0"/>
          <w:numId w:val="1016"/>
        </w:numPr>
        <w:pStyle w:val="Compact"/>
      </w:pPr>
      <w:r>
        <w:rPr>
          <w:bCs/>
          <w:b/>
        </w:rPr>
        <w:t xml:space="preserve">Optimize Use Phase:</w:t>
      </w:r>
    </w:p>
    <w:p>
      <w:pPr>
        <w:numPr>
          <w:ilvl w:val="1"/>
          <w:numId w:val="1017"/>
        </w:numPr>
        <w:pStyle w:val="Compact"/>
      </w:pPr>
      <w:r>
        <w:t xml:space="preserve">Improve energy efficiency of jnfepiegvs during its operational life.</w:t>
      </w:r>
    </w:p>
    <w:p>
      <w:pPr>
        <w:numPr>
          <w:ilvl w:val="1"/>
          <w:numId w:val="1017"/>
        </w:numPr>
        <w:pStyle w:val="Compact"/>
      </w:pPr>
      <w:r>
        <w:t xml:space="preserve">Explore options for customers to power the product with renewable energy sources.</w:t>
      </w:r>
    </w:p>
    <w:p>
      <w:pPr>
        <w:numPr>
          <w:ilvl w:val="1"/>
          <w:numId w:val="1017"/>
        </w:numPr>
        <w:pStyle w:val="Compact"/>
      </w:pPr>
      <w:r>
        <w:t xml:space="preserve">Extend product lifespan to amortize embodied emissions over a longer period.</w:t>
      </w:r>
    </w:p>
    <w:p>
      <w:pPr>
        <w:numPr>
          <w:ilvl w:val="0"/>
          <w:numId w:val="1016"/>
        </w:numPr>
        <w:pStyle w:val="Compact"/>
      </w:pPr>
      <w:r>
        <w:rPr>
          <w:bCs/>
          <w:b/>
        </w:rPr>
        <w:t xml:space="preserve">Material Decarbonization:</w:t>
      </w:r>
    </w:p>
    <w:p>
      <w:pPr>
        <w:numPr>
          <w:ilvl w:val="1"/>
          <w:numId w:val="1018"/>
        </w:numPr>
        <w:pStyle w:val="Compact"/>
      </w:pPr>
      <w:r>
        <w:t xml:space="preserve">Engage with suppliers to source lower-carbon materials, e.g., recycled aluminum with lower embodied emissions or plastics made from bio-based or recycled content.</w:t>
      </w:r>
    </w:p>
    <w:p>
      <w:pPr>
        <w:numPr>
          <w:ilvl w:val="1"/>
          <w:numId w:val="1018"/>
        </w:numPr>
        <w:pStyle w:val="Compact"/>
      </w:pPr>
      <w:r>
        <w:t xml:space="preserve">Investigate alternative battery chemistries or supply chains with lower manufacturing footprints.</w:t>
      </w:r>
    </w:p>
    <w:p>
      <w:pPr>
        <w:numPr>
          <w:ilvl w:val="0"/>
          <w:numId w:val="1016"/>
        </w:numPr>
        <w:pStyle w:val="Compact"/>
      </w:pPr>
      <w:r>
        <w:rPr>
          <w:bCs/>
          <w:b/>
        </w:rPr>
        <w:t xml:space="preserve">Manufacturing Process Improvements:</w:t>
      </w:r>
    </w:p>
    <w:p>
      <w:pPr>
        <w:numPr>
          <w:ilvl w:val="1"/>
          <w:numId w:val="1019"/>
        </w:numPr>
        <w:pStyle w:val="Compact"/>
      </w:pPr>
      <w:r>
        <w:t xml:space="preserve">Increase the share of renewable energy used at the manufacturing facility in China (beyond the illustrative 30%).</w:t>
      </w:r>
    </w:p>
    <w:p>
      <w:pPr>
        <w:numPr>
          <w:ilvl w:val="1"/>
          <w:numId w:val="1019"/>
        </w:numPr>
        <w:pStyle w:val="Compact"/>
      </w:pPr>
      <w:r>
        <w:t xml:space="preserve">Implement energy-efficient production technologies.</w:t>
      </w:r>
    </w:p>
    <w:p>
      <w:pPr>
        <w:numPr>
          <w:ilvl w:val="1"/>
          <w:numId w:val="1019"/>
        </w:numPr>
        <w:pStyle w:val="Compact"/>
      </w:pPr>
      <w:r>
        <w:t xml:space="preserve">Optimize manufacturing processes to reduce material waste and energy consumption per unit.</w:t>
      </w:r>
    </w:p>
    <w:p>
      <w:pPr>
        <w:numPr>
          <w:ilvl w:val="0"/>
          <w:numId w:val="1016"/>
        </w:numPr>
        <w:pStyle w:val="Compact"/>
      </w:pPr>
      <w:r>
        <w:rPr>
          <w:bCs/>
          <w:b/>
        </w:rPr>
        <w:t xml:space="preserve">Enhance Circularity:</w:t>
      </w:r>
    </w:p>
    <w:p>
      <w:pPr>
        <w:numPr>
          <w:ilvl w:val="1"/>
          <w:numId w:val="1020"/>
        </w:numPr>
        <w:pStyle w:val="Compact"/>
      </w:pPr>
      <w:r>
        <w:t xml:space="preserve">Strengthen take-back and recycling programs (beyond the illustrative 70% recyclability) to maximize material recovery and reduce the need for virgin materials.</w:t>
      </w:r>
    </w:p>
    <w:p>
      <w:pPr>
        <w:numPr>
          <w:ilvl w:val="1"/>
          <w:numId w:val="1020"/>
        </w:numPr>
        <w:pStyle w:val="Compact"/>
      </w:pPr>
      <w:r>
        <w:t xml:space="preserve">Explore closed-loop systems for key components.</w: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jnfepiegvs</dc:title>
  <dc:creator/>
  <dc:description>A high-detail Product Carbon Footprint (PCF) analysis report for jnfepiegvs, conducted by Senior Sustainability Consultant kkllqpwxsm for kwzlqkstmn, adhering to the GHG Protocol.</dc:description>
  <dc:language>en</dc:language>
  <cp:keywords/>
  <dcterms:created xsi:type="dcterms:W3CDTF">2026-05-30T17:18:40Z</dcterms:created>
  <dcterms:modified xsi:type="dcterms:W3CDTF">2026-05-30T17:18:40Z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