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jmrnpkddup</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jmrnpkddup</w:t>
      </w:r>
    </w:p>
    <w:p>
      <w:pPr>
        <w:pStyle w:val="BodyText"/>
      </w:pPr>
      <w:r>
        <w:rPr>
          <w:bCs/>
          <w:b/>
        </w:rPr>
        <w:t xml:space="preserve">Company Name:</w:t>
      </w:r>
      <w:r>
        <w:t xml:space="preserve"> </w:t>
      </w:r>
      <w:r>
        <w:t xml:space="preserve">idiwtulssv</w:t>
      </w:r>
    </w:p>
    <w:p>
      <w:pPr>
        <w:pStyle w:val="BodyText"/>
      </w:pPr>
      <w:r>
        <w:rPr>
          <w:bCs/>
          <w:b/>
        </w:rPr>
        <w:t xml:space="preserve">Senior Sustainability Consultant:</w:t>
      </w:r>
      <w:r>
        <w:t xml:space="preserve"> </w:t>
      </w:r>
      <w:r>
        <w:t xml:space="preserve">wwuuidnzze</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actual impacts may vary based on specific operational details and evolving methodologies.</w:t>
      </w:r>
    </w:p>
    <w:bookmarkEnd w:id="20"/>
    <w:bookmarkStart w:id="21" w:name="X12d2eccdc101221a6e93185c42d73356549571a"/>
    <w:p>
      <w:pPr>
        <w:pStyle w:val="Heading1"/>
      </w:pPr>
      <w:r>
        <w:t xml:space="preserve">Product Carbon Footprint (PCF) Analysis Report for jmrnpkddup</w:t>
      </w:r>
    </w:p>
    <w:p>
      <w:pPr>
        <w:pStyle w:val="FirstParagraph"/>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jmrnpkddup, manufactured by idiwtulssv. The analysis was conducted by wwuuidnzze, Senior Sustainability Consultant, adhering to the Greenhouse Gas (GHG) Protocol standards, including considerations for the latest 2026 updates. The primary objective is to quantify the greenhouse gas emissions associated with the product\'s lifecycle, identify emission hotspots, and provide a foundation for targeted decarbonization efforts. The assessment covers material acquisition, manufacturing, transportation, use, and end-of-life phases, categorized into Scope 1, 2, and 3 emissions.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for jmrnpkddup was conducted following the five-step methodology recommended by the GHG Protocol. This comprehensive approach ensures a systematic and robust assessment of greenhouse gas emissions across the product\'s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PCF analysis is defined as 1.0 unit of jmrnpkddup, serving its intended purpose for its estimated lifespan.</w:t>
      </w:r>
    </w:p>
    <w:p>
      <w:pPr>
        <w:numPr>
          <w:ilvl w:val="0"/>
          <w:numId w:val="1001"/>
        </w:numPr>
        <w:pStyle w:val="Compact"/>
      </w:pPr>
      <w:r>
        <w:rPr>
          <w:bCs/>
          <w:b/>
        </w:rPr>
        <w:t xml:space="preserve">System Boundary:</w:t>
      </w:r>
      <w:r>
        <w:t xml:space="preserve"> </w:t>
      </w:r>
      <w:r>
        <w:t xml:space="preserve">The analysis employs a "factory_gate" system boundary for the direct production, extending to cover the full lifecycle, including upstream (material acquisition, inbound transport) and downstream (outbound transport, use phase, end-of-life) impacts.</w:t>
      </w:r>
    </w:p>
    <w:p>
      <w:pPr>
        <w:numPr>
          <w:ilvl w:val="0"/>
          <w:numId w:val="1001"/>
        </w:numPr>
        <w:pStyle w:val="Compact"/>
      </w:pPr>
      <w:r>
        <w:rPr>
          <w:bCs/>
          <w:b/>
        </w:rPr>
        <w:t xml:space="preserve">Geographic Scope:</w:t>
      </w:r>
      <w:r>
        <w:t xml:space="preserve"> </w:t>
      </w:r>
      <w:r>
        <w:t xml:space="preserve">The final production country is China, with a specific focus on a Europe-focused supply chain for upstream activities. Downstream distribution and use phase are considered globally or based on generic average conditions where specific regional data is unavailable.</w:t>
      </w:r>
    </w:p>
    <w:p>
      <w:pPr>
        <w:numPr>
          <w:ilvl w:val="0"/>
          <w:numId w:val="1001"/>
        </w:numPr>
        <w:pStyle w:val="Compact"/>
      </w:pPr>
      <w:r>
        <w:rPr>
          <w:bCs/>
          <w:b/>
        </w:rPr>
        <w:t xml:space="preserve">Accounting Standard:</w:t>
      </w:r>
      <w:r>
        <w:t xml:space="preserve"> </w:t>
      </w:r>
      <w:r>
        <w:t xml:space="preserve">The analysis strictly adheres to the GHG Protocol Product Standard, categorizing emissions into Scope 1 (direct), Scope 2 (purchased energy), and Scope 3 (value chain) emissions.</w:t>
      </w:r>
    </w:p>
    <w:p>
      <w:pPr>
        <w:numPr>
          <w:ilvl w:val="0"/>
          <w:numId w:val="1001"/>
        </w:numPr>
        <w:pStyle w:val="Compact"/>
      </w:pPr>
      <w:r>
        <w:rPr>
          <w:bCs/>
          <w:b/>
        </w:rPr>
        <w:t xml:space="preserve">Allocation:</w:t>
      </w:r>
      <w:r>
        <w:t xml:space="preserve"> </w:t>
      </w:r>
      <w:r>
        <w:t xml:space="preserve">Where co-products or by-products exist, allocation is based on physical relationships (e.g., mass) or economic value, in line with GHG Protocol guidance.</w:t>
      </w:r>
    </w:p>
    <w:p>
      <w:r>
        <w:pict>
          <v:rect style="width:0;height:1.5pt" o:hralign="center" o:hrstd="t" o:hr="t"/>
        </w:pict>
      </w:r>
    </w:p>
    <w:bookmarkEnd w:id="23"/>
    <w:bookmarkEnd w:id="24"/>
    <w:bookmarkStart w:id="31" w:name="Xced6d3b1f63026c6b5a24e300de4b2973518711"/>
    <w:p>
      <w:pPr>
        <w:pStyle w:val="Heading2"/>
      </w:pPr>
      <w:r>
        <w:t xml:space="preserve">2. Lifecycle Inventory (LCI) Mapping &amp; 3. Data Collection</w:t>
      </w:r>
    </w:p>
    <w:p>
      <w:pPr>
        <w:pStyle w:val="FirstParagraph"/>
      </w:pPr>
      <w:r>
        <w:t xml:space="preserve">This section details the lifecycle stages considered and the data points collected or assumed for the PCF calculation. Due to the placeholder nature of some input parameters, representative data and industry-standard emission factors have been used for calculation purposes, with explicit assumptions noted.</w:t>
      </w:r>
    </w:p>
    <w:bookmarkStart w:id="26" w:name="detailed-bill-of-materials-bom-analysis"/>
    <w:p>
      <w:pPr>
        <w:pStyle w:val="Heading3"/>
      </w:pPr>
      <w:r>
        <w:t xml:space="preserve">2.1. Detailed Bill of Materials (BOM) Analysis</w:t>
      </w:r>
    </w:p>
    <w:p>
      <w:pPr>
        <w:pStyle w:val="FirstParagraph"/>
      </w:pPr>
      <w:r>
        <w:t xml:space="preserve">The material impact of jmrnpkddup is calculated based on a detailed Bill of Materials (BOM), provided as "rtiyynxy". For the purpose of this report and to demonstrate the calculation, a sample BOM with representative materials and their associated emissions factors has been constructed, reflecting the specified format (ID, Description, Category, Process, Qty, Unit, Emission Factor, Total Carbon). In a live scenario, the actual data for "rtiyynxy" would be used.</w:t>
      </w:r>
    </w:p>
    <w:p>
      <w:pPr>
        <w:pStyle w:val="BodyText"/>
      </w:pPr>
      <w:r>
        <w:rPr>
          <w:bCs/>
          <w:b/>
        </w:rPr>
        <w:t xml:space="preserve">Provided BOM Parameter:</w:t>
      </w:r>
      <w:r>
        <w:t xml:space="preserve"> </w:t>
      </w:r>
      <w:r>
        <w:rPr>
          <w:rStyle w:val="VerbatimChar"/>
        </w:rPr>
        <w:t xml:space="preserve">rtiyynxy</w:t>
      </w:r>
    </w:p>
    <w:bookmarkStart w:id="25" w:name="X5e52185ac4e5bc62d613b587df9a7f81ac1c94e"/>
    <w:p>
      <w:pPr>
        <w:pStyle w:val="Heading4"/>
      </w:pPr>
      <w:r>
        <w:t xml:space="preserve">Sample Bill of Materials Breakdown (Assumed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ITEM001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ITEM002</w:t>
            </w:r>
          </w:p>
        </w:tc>
        <w:tc>
          <w:tcPr/>
          <w:p>
            <w:pPr>
              <w:pStyle w:val="Compact"/>
              <w:jc w:val="left"/>
            </w:pPr>
            <w:r>
              <w:t xml:space="preserve">Aluminium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ITEM003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ITEM004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0.23</w:t>
            </w:r>
          </w:p>
        </w:tc>
      </w:tr>
      <w:tr>
        <w:tc>
          <w:tcPr>
            <w:gridSpan w:val="7"/>
          </w:tcPr>
          <w:p>
            <w:pPr>
              <w:pStyle w:val="Compact"/>
              <w:jc w:val="right"/>
            </w:pPr>
            <w:r>
              <w:rPr>
                <w:bCs/>
                <w:b/>
              </w:rPr>
              <w:t xml:space="preserve">Total Material Emissions:</w:t>
            </w:r>
          </w:p>
        </w:tc>
        <w:tc>
          <w:tcPr/>
          <w:p>
            <w:pPr>
              <w:pStyle w:val="Compact"/>
              <w:jc w:val="left"/>
            </w:pPr>
            <w:r>
              <w:rPr>
                <w:bCs/>
                <w:b/>
              </w:rPr>
              <w:t xml:space="preserve">4.33 kgCO2e</w:t>
            </w:r>
          </w:p>
        </w:tc>
      </w:tr>
    </w:tbl>
    <w:p>
      <w:pPr>
        <w:pStyle w:val="BodyText"/>
      </w:pPr>
      <w:r>
        <w:rPr>
          <w:iCs/>
          <w:i/>
        </w:rPr>
        <w:t xml:space="preserve">Note: The "Total Carbon" column is calculated as Qty * Emission Factor based on the sample data.</w:t>
      </w:r>
    </w:p>
    <w:bookmarkEnd w:id="25"/>
    <w:bookmarkEnd w:id="26"/>
    <w:bookmarkStart w:id="27" w:name="production-energy-inputs"/>
    <w:p>
      <w:pPr>
        <w:pStyle w:val="Heading3"/>
      </w:pPr>
      <w:r>
        <w:t xml:space="preserve">2.2. Production Energy Inputs</w:t>
      </w:r>
    </w:p>
    <w:p>
      <w:pPr>
        <w:pStyle w:val="FirstParagraph"/>
      </w:pPr>
      <w:r>
        <w:t xml:space="preserve">The energy consumed during the product\'s manufacturing phase significantly contributes to its footprint. Customization data for renewable energy usage and energy intensity has been incorporated.</w:t>
      </w:r>
    </w:p>
    <w:p>
      <w:pPr>
        <w:numPr>
          <w:ilvl w:val="0"/>
          <w:numId w:val="1002"/>
        </w:numPr>
        <w:pStyle w:val="Compact"/>
      </w:pPr>
      <w:r>
        <w:rPr>
          <w:bCs/>
          <w:b/>
        </w:rPr>
        <w:t xml:space="preserve">Renewable Energy Usage:</w:t>
      </w:r>
      <w:r>
        <w:t xml:space="preserve"> </w:t>
      </w:r>
      <w:r>
        <w:rPr>
          <w:rStyle w:val="VerbatimChar"/>
        </w:rPr>
        <w:t xml:space="preserve">xsuxppvwpm</w:t>
      </w:r>
      <w:r>
        <w:t xml:space="preserve"> </w:t>
      </w:r>
      <w:r>
        <w:t xml:space="preserve">(Assumed: 70%)</w:t>
      </w:r>
    </w:p>
    <w:p>
      <w:pPr>
        <w:numPr>
          <w:ilvl w:val="0"/>
          <w:numId w:val="1002"/>
        </w:numPr>
        <w:pStyle w:val="Compact"/>
      </w:pPr>
      <w:r>
        <w:rPr>
          <w:bCs/>
          <w:b/>
        </w:rPr>
        <w:t xml:space="preserve">Energy Intensity (kWh/unit):</w:t>
      </w:r>
      <w:r>
        <w:t xml:space="preserve"> </w:t>
      </w:r>
      <w:r>
        <w:rPr>
          <w:rStyle w:val="VerbatimChar"/>
        </w:rPr>
        <w:t xml:space="preserve">rrpkeqthzy</w:t>
      </w:r>
      <w:r>
        <w:t xml:space="preserve"> </w:t>
      </w:r>
      <w:r>
        <w:t xml:space="preserve">(Assumed: 20 kWh/unit)</w:t>
      </w:r>
    </w:p>
    <w:p>
      <w:pPr>
        <w:numPr>
          <w:ilvl w:val="0"/>
          <w:numId w:val="1002"/>
        </w:numPr>
        <w:pStyle w:val="Compact"/>
      </w:pPr>
      <w:r>
        <w:rPr>
          <w:bCs/>
          <w:b/>
        </w:rPr>
        <w:t xml:space="preserve">Grid Emission Factor (China):</w:t>
      </w:r>
      <w:r>
        <w:t xml:space="preserve"> </w:t>
      </w:r>
      <w:r>
        <w:t xml:space="preserve">0.60 kgCO2e/kWh (Assumed average for demonstration)</w:t>
      </w:r>
    </w:p>
    <w:bookmarkEnd w:id="27"/>
    <w:bookmarkStart w:id="28" w:name="logistics-data"/>
    <w:p>
      <w:pPr>
        <w:pStyle w:val="Heading3"/>
      </w:pPr>
      <w:r>
        <w:t xml:space="preserve">2.3. Logistics Data</w:t>
      </w:r>
    </w:p>
    <w:p>
      <w:pPr>
        <w:pStyle w:val="FirstParagraph"/>
      </w:pPr>
      <w:r>
        <w:t xml:space="preserve">Transportation emissions are calculated based on the specified transport mode, distance, and last-mile delivery channel.</w:t>
      </w:r>
    </w:p>
    <w:p>
      <w:pPr>
        <w:numPr>
          <w:ilvl w:val="0"/>
          <w:numId w:val="1003"/>
        </w:numPr>
        <w:pStyle w:val="Compact"/>
      </w:pPr>
      <w:r>
        <w:rPr>
          <w:bCs/>
          <w:b/>
        </w:rPr>
        <w:t xml:space="preserve">Transport Mode:</w:t>
      </w:r>
      <w:r>
        <w:t xml:space="preserve"> </w:t>
      </w:r>
      <w:r>
        <w:rPr>
          <w:rStyle w:val="VerbatimChar"/>
        </w:rPr>
        <w:t xml:space="preserve">Select Mode</w:t>
      </w:r>
      <w:r>
        <w:t xml:space="preserve"> </w:t>
      </w:r>
      <w:r>
        <w:t xml:space="preserve">(Assumed: Ocean Freight for inbound materials from Europe to China, Road Freight for outbound from China and last-mile)</w:t>
      </w:r>
    </w:p>
    <w:p>
      <w:pPr>
        <w:numPr>
          <w:ilvl w:val="0"/>
          <w:numId w:val="1003"/>
        </w:numPr>
        <w:pStyle w:val="Compact"/>
      </w:pPr>
      <w:r>
        <w:rPr>
          <w:bCs/>
          <w:b/>
        </w:rPr>
        <w:t xml:space="preserve">Transport Distance:</w:t>
      </w:r>
      <w:r>
        <w:t xml:space="preserve"> </w:t>
      </w:r>
      <w:r>
        <w:rPr>
          <w:rStyle w:val="VerbatimChar"/>
        </w:rPr>
        <w:t xml:space="preserve">neqrxixtzt</w:t>
      </w:r>
      <w:r>
        <w:t xml:space="preserve"> </w:t>
      </w:r>
      <w:r>
        <w:t xml:space="preserve">(Assumed: Inbound Ocean Freight: 8,000 km; Outbound Road Freight (primary): 1,000 km; Last-Mile Road Freight: 100 km)</w:t>
      </w:r>
    </w:p>
    <w:p>
      <w:pPr>
        <w:numPr>
          <w:ilvl w:val="0"/>
          <w:numId w:val="1003"/>
        </w:numPr>
        <w:pStyle w:val="Compact"/>
      </w:pPr>
      <w:r>
        <w:rPr>
          <w:bCs/>
          <w:b/>
        </w:rPr>
        <w:t xml:space="preserve">Last-Mile Delivery Channel:</w:t>
      </w:r>
      <w:r>
        <w:t xml:space="preserve"> </w:t>
      </w:r>
      <w:r>
        <w:rPr>
          <w:rStyle w:val="VerbatimChar"/>
        </w:rPr>
        <w:t xml:space="preserve">Delivery Type</w:t>
      </w:r>
      <w:r>
        <w:t xml:space="preserve"> </w:t>
      </w:r>
      <w:r>
        <w:t xml:space="preserve">(Assumed: Direct to Consumer, via Road Freight)</w:t>
      </w:r>
    </w:p>
    <w:p>
      <w:pPr>
        <w:numPr>
          <w:ilvl w:val="0"/>
          <w:numId w:val="1003"/>
        </w:numPr>
        <w:pStyle w:val="Compact"/>
      </w:pPr>
      <w:r>
        <w:rPr>
          <w:bCs/>
          <w:b/>
        </w:rPr>
        <w:t xml:space="preserve">Product Weight for Transport:</w:t>
      </w:r>
      <w:r>
        <w:t xml:space="preserve"> </w:t>
      </w:r>
      <w:r>
        <w:t xml:space="preserve">1.0 kg (Assumed average, including primary packaging)</w:t>
      </w:r>
    </w:p>
    <w:p>
      <w:pPr>
        <w:numPr>
          <w:ilvl w:val="0"/>
          <w:numId w:val="1003"/>
        </w:numPr>
        <w:pStyle w:val="Compact"/>
      </w:pPr>
      <w:r>
        <w:rPr>
          <w:bCs/>
          <w:b/>
        </w:rPr>
        <w:t xml:space="preserve">Emission Factor (Ocean Freight):</w:t>
      </w:r>
      <w:r>
        <w:t xml:space="preserve"> </w:t>
      </w:r>
      <w:r>
        <w:t xml:space="preserve">0.016 kgCO2e/tkm</w:t>
      </w:r>
    </w:p>
    <w:p>
      <w:pPr>
        <w:numPr>
          <w:ilvl w:val="0"/>
          <w:numId w:val="1003"/>
        </w:numPr>
        <w:pStyle w:val="Compact"/>
      </w:pPr>
      <w:r>
        <w:rPr>
          <w:bCs/>
          <w:b/>
        </w:rPr>
        <w:t xml:space="preserve">Emission Factor (Road Freight):</w:t>
      </w:r>
      <w:r>
        <w:t xml:space="preserve"> </w:t>
      </w:r>
      <w:r>
        <w:t xml:space="preserve">0.062 kgCO2e/tkm</w:t>
      </w:r>
    </w:p>
    <w:bookmarkEnd w:id="28"/>
    <w:bookmarkStart w:id="29" w:name="use-phase-data"/>
    <w:p>
      <w:pPr>
        <w:pStyle w:val="Heading3"/>
      </w:pPr>
      <w:r>
        <w:t xml:space="preserve">2.4. Use Phase Data</w:t>
      </w:r>
    </w:p>
    <w:p>
      <w:pPr>
        <w:pStyle w:val="FirstParagraph"/>
      </w:pPr>
      <w:r>
        <w:t xml:space="preserve">The energy consumption during the product\'s lifespan is a critical component of its environmental impact.</w:t>
      </w:r>
    </w:p>
    <w:p>
      <w:pPr>
        <w:numPr>
          <w:ilvl w:val="0"/>
          <w:numId w:val="1004"/>
        </w:numPr>
        <w:pStyle w:val="Compact"/>
      </w:pPr>
      <w:r>
        <w:rPr>
          <w:bCs/>
          <w:b/>
        </w:rPr>
        <w:t xml:space="preserve">Product Lifespan:</w:t>
      </w:r>
      <w:r>
        <w:t xml:space="preserve"> </w:t>
      </w:r>
      <w:r>
        <w:rPr>
          <w:rStyle w:val="VerbatimChar"/>
        </w:rPr>
        <w:t xml:space="preserve">zpwuxwnvuz</w:t>
      </w:r>
      <w:r>
        <w:t xml:space="preserve"> </w:t>
      </w:r>
      <w:r>
        <w:t xml:space="preserve">(Assumed: 5 years)</w:t>
      </w:r>
    </w:p>
    <w:p>
      <w:pPr>
        <w:numPr>
          <w:ilvl w:val="0"/>
          <w:numId w:val="1004"/>
        </w:numPr>
        <w:pStyle w:val="Compact"/>
      </w:pPr>
      <w:r>
        <w:rPr>
          <w:bCs/>
          <w:b/>
        </w:rPr>
        <w:t xml:space="preserve">Energy Consumption in Use:</w:t>
      </w:r>
      <w:r>
        <w:t xml:space="preserve"> </w:t>
      </w:r>
      <w:r>
        <w:rPr>
          <w:rStyle w:val="VerbatimChar"/>
        </w:rPr>
        <w:t xml:space="preserve">wzdtrnzuyj</w:t>
      </w:r>
      <w:r>
        <w:t xml:space="preserve"> </w:t>
      </w:r>
      <w:r>
        <w:t xml:space="preserve">(Assumed: 10 kWh/year)</w:t>
      </w:r>
    </w:p>
    <w:p>
      <w:pPr>
        <w:numPr>
          <w:ilvl w:val="0"/>
          <w:numId w:val="1004"/>
        </w:numPr>
        <w:pStyle w:val="Compact"/>
      </w:pPr>
      <w:r>
        <w:rPr>
          <w:bCs/>
          <w:b/>
        </w:rPr>
        <w:t xml:space="preserve">Emission Factor (Use Phase Electricity):</w:t>
      </w:r>
      <w:r>
        <w:t xml:space="preserve"> </w:t>
      </w:r>
      <w:r>
        <w:t xml:space="preserve">0.40 kgCO2e/kWh (Assumed global average grid mix for demonstration)</w:t>
      </w:r>
    </w:p>
    <w:bookmarkEnd w:id="29"/>
    <w:bookmarkStart w:id="30" w:name="end-of-life-eol-scenarios"/>
    <w:p>
      <w:pPr>
        <w:pStyle w:val="Heading3"/>
      </w:pPr>
      <w:r>
        <w:t xml:space="preserve">2.5. End-of-Life (EoL) Scenarios</w:t>
      </w:r>
    </w:p>
    <w:p>
      <w:pPr>
        <w:pStyle w:val="FirstParagraph"/>
      </w:pPr>
      <w:r>
        <w:t xml:space="preserve">The end-of-life treatment of the product is evaluated based on its recyclability and the existence of circular programs.</w:t>
      </w:r>
    </w:p>
    <w:p>
      <w:pPr>
        <w:numPr>
          <w:ilvl w:val="0"/>
          <w:numId w:val="1005"/>
        </w:numPr>
        <w:pStyle w:val="Compact"/>
      </w:pPr>
      <w:r>
        <w:rPr>
          <w:bCs/>
          <w:b/>
        </w:rPr>
        <w:t xml:space="preserve">Recyclability Percentage:</w:t>
      </w:r>
      <w:r>
        <w:t xml:space="preserve"> </w:t>
      </w:r>
      <w:r>
        <w:rPr>
          <w:rStyle w:val="VerbatimChar"/>
        </w:rPr>
        <w:t xml:space="preserve">tseogirxwt</w:t>
      </w:r>
      <w:r>
        <w:t xml:space="preserve"> </w:t>
      </w:r>
      <w:r>
        <w:t xml:space="preserve">(Assumed: 80%)</w:t>
      </w:r>
    </w:p>
    <w:p>
      <w:pPr>
        <w:numPr>
          <w:ilvl w:val="0"/>
          <w:numId w:val="1005"/>
        </w:numPr>
        <w:pStyle w:val="Compact"/>
      </w:pPr>
      <w:r>
        <w:rPr>
          <w:bCs/>
          <w:b/>
        </w:rPr>
        <w:t xml:space="preserve">Circular/Take-back Programs:</w:t>
      </w:r>
      <w:r>
        <w:t xml:space="preserve"> </w:t>
      </w:r>
      <w:r>
        <w:rPr>
          <w:rStyle w:val="VerbatimChar"/>
        </w:rPr>
        <w:t xml:space="preserve">neyqyieoly</w:t>
      </w:r>
      <w:r>
        <w:t xml:space="preserve"> </w:t>
      </w:r>
      <w:r>
        <w:t xml:space="preserve">(Assumed: Yes, active take-back program)</w:t>
      </w:r>
    </w:p>
    <w:p>
      <w:pPr>
        <w:numPr>
          <w:ilvl w:val="0"/>
          <w:numId w:val="1005"/>
        </w:numPr>
        <w:pStyle w:val="Compact"/>
      </w:pPr>
      <w:r>
        <w:rPr>
          <w:bCs/>
          <w:b/>
        </w:rPr>
        <w:t xml:space="preserve">Landfill Emission Factor:</w:t>
      </w:r>
      <w:r>
        <w:t xml:space="preserve"> </w:t>
      </w:r>
      <w:r>
        <w:t xml:space="preserve">0.5 kgCO2e/kg (Assumed for non-recycled waste)</w:t>
      </w:r>
    </w:p>
    <w:p>
      <w:r>
        <w:pict>
          <v:rect style="width:0;height:1.5pt" o:hralign="center" o:hrstd="t" o:hr="t"/>
        </w:pict>
      </w:r>
    </w:p>
    <w:bookmarkEnd w:id="30"/>
    <w:bookmarkEnd w:id="31"/>
    <w:bookmarkStart w:id="41"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Protocol\'s Scope 1, Scope 2, and Scope 3 definitions. All calculations are performed in kilograms of Carbon Dioxide equivalent (kgCO2e).</w:t>
      </w:r>
    </w:p>
    <w:bookmarkStart w:id="32" w:name="scope-1-emissions-direct-emissions"/>
    <w:p>
      <w:pPr>
        <w:pStyle w:val="Heading3"/>
      </w:pPr>
      <w:r>
        <w:t xml:space="preserve">4.1. Scope 1 Emissions (Direct Emissions)</w:t>
      </w:r>
    </w:p>
    <w:p>
      <w:pPr>
        <w:pStyle w:val="FirstParagraph"/>
      </w:pPr>
      <w:r>
        <w:t xml:space="preserve">For a Product Carbon Footprint with a "factory_gate" system boundary for the reporting company\'s direct operations, Scope 1 emissions (e.g., from owned vehicles or on-site fuel combustion) are typically associated with the manufacturing process itself. However, for a product-level PCF focused on upstream and downstream impacts, significant Scope 1 emissions from the product\'s value chain are typically captured within Scope 3. No direct Scope 1 emissions for jmrnpkddup are calculated in this analysis based on the provided parameters.</w:t>
      </w:r>
    </w:p>
    <w:bookmarkEnd w:id="32"/>
    <w:bookmarkStart w:id="33"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product\'s manufacturing in the final production country (China).</w:t>
      </w:r>
    </w:p>
    <w:p>
      <w:pPr>
        <w:numPr>
          <w:ilvl w:val="0"/>
          <w:numId w:val="1006"/>
        </w:numPr>
        <w:pStyle w:val="Compact"/>
      </w:pPr>
      <w:r>
        <w:t xml:space="preserve">Total Energy Consumption: 20 kWh/unit [cite: rrpkeqthzy]</w:t>
      </w:r>
    </w:p>
    <w:p>
      <w:pPr>
        <w:numPr>
          <w:ilvl w:val="0"/>
          <w:numId w:val="1006"/>
        </w:numPr>
        <w:pStyle w:val="Compact"/>
      </w:pPr>
      <w:r>
        <w:t xml:space="preserve">Non-Renewable Energy Usage: (100% - 70% renewable usage [cite: xsuxppvwpm]) = 30%</w:t>
      </w:r>
    </w:p>
    <w:p>
      <w:pPr>
        <w:numPr>
          <w:ilvl w:val="0"/>
          <w:numId w:val="1006"/>
        </w:numPr>
        <w:pStyle w:val="Compact"/>
      </w:pPr>
      <w:r>
        <w:t xml:space="preserve">Non-Renewable Energy: 20 kWh/unit * 0.30 = 6 kWh/unit</w:t>
      </w:r>
    </w:p>
    <w:p>
      <w:pPr>
        <w:numPr>
          <w:ilvl w:val="0"/>
          <w:numId w:val="1006"/>
        </w:numPr>
        <w:pStyle w:val="Compact"/>
      </w:pPr>
      <w:r>
        <w:t xml:space="preserve">China Grid Emission Factor: 0.60 kgCO2e/kWh</w:t>
      </w:r>
    </w:p>
    <w:p>
      <w:pPr>
        <w:numPr>
          <w:ilvl w:val="0"/>
          <w:numId w:val="1006"/>
        </w:numPr>
        <w:pStyle w:val="Compact"/>
      </w:pPr>
      <w:r>
        <w:rPr>
          <w:bCs/>
          <w:b/>
        </w:rPr>
        <w:t xml:space="preserve">Scope 2 Emissions:</w:t>
      </w:r>
      <w:r>
        <w:t xml:space="preserve"> </w:t>
      </w:r>
      <w:r>
        <w:t xml:space="preserve">6 kWh/unit * 0.60 kgCO2e/kWh =</w:t>
      </w:r>
      <w:r>
        <w:t xml:space="preserve"> </w:t>
      </w:r>
      <w:r>
        <w:rPr>
          <w:bCs/>
          <w:b/>
        </w:rPr>
        <w:t xml:space="preserve">3.60 kgCO2e</w:t>
      </w:r>
    </w:p>
    <w:bookmarkEnd w:id="33"/>
    <w:bookmarkStart w:id="39" w:name="scope-3-emissions-value-chain-emissions"/>
    <w:p>
      <w:pPr>
        <w:pStyle w:val="Heading3"/>
      </w:pPr>
      <w:r>
        <w:t xml:space="preserve">4.3. Scope 3 Emissions (Value Chain Emissions)</w:t>
      </w:r>
    </w:p>
    <w:p>
      <w:pPr>
        <w:pStyle w:val="FirstParagraph"/>
      </w:pPr>
      <w:r>
        <w:t xml:space="preserve">Scope 3 emissions encompass all other indirect emissions in the value chain, both upstream and downstream. The GHG Protocol\'s 2026 updates emphasize a mandatory 95% completeness rule for Scope 3 reporting, which this analysis aims to meet by including all relevant categories.</w:t>
      </w:r>
    </w:p>
    <w:bookmarkStart w:id="34" w:name="Xab9729a0caae076ca89f2f71668734f92723cf2"/>
    <w:p>
      <w:pPr>
        <w:pStyle w:val="Heading4"/>
      </w:pPr>
      <w:r>
        <w:t xml:space="preserve">4.3.1. Category 1: Purchased Goods and Services (Materials)</w:t>
      </w:r>
    </w:p>
    <w:p>
      <w:pPr>
        <w:pStyle w:val="FirstParagraph"/>
      </w:pPr>
      <w:r>
        <w:t xml:space="preserve">Emissions from the extraction, production, and primary processing of raw materials.</w:t>
      </w:r>
    </w:p>
    <w:p>
      <w:pPr>
        <w:numPr>
          <w:ilvl w:val="0"/>
          <w:numId w:val="1007"/>
        </w:numPr>
        <w:pStyle w:val="Compact"/>
      </w:pPr>
      <w:r>
        <w:t xml:space="preserve">Total Material Emissions (from Sample BOM):</w:t>
      </w:r>
      <w:r>
        <w:t xml:space="preserve"> </w:t>
      </w:r>
      <w:r>
        <w:rPr>
          <w:bCs/>
          <w:b/>
        </w:rPr>
        <w:t xml:space="preserve">4.33 kgCO2e</w:t>
      </w:r>
    </w:p>
    <w:bookmarkEnd w:id="34"/>
    <w:bookmarkStart w:id="35" w:name="X6669a43143349c25ec93e775eebde43de53a73c"/>
    <w:p>
      <w:pPr>
        <w:pStyle w:val="Heading4"/>
      </w:pPr>
      <w:r>
        <w:t xml:space="preserve">4.3.2. Category 4: Upstream Transportation and Distribution</w:t>
      </w:r>
    </w:p>
    <w:p>
      <w:pPr>
        <w:pStyle w:val="FirstParagraph"/>
      </w:pPr>
      <w:r>
        <w:t xml:space="preserve">Emissions from the transportation of purchased materials and components from suppliers to the manufacturing facility.</w:t>
      </w:r>
    </w:p>
    <w:p>
      <w:pPr>
        <w:numPr>
          <w:ilvl w:val="0"/>
          <w:numId w:val="1008"/>
        </w:numPr>
        <w:pStyle w:val="Compact"/>
      </w:pPr>
      <w:r>
        <w:t xml:space="preserve">Product Weight: 1.0 kg = 0.001 tonne (Assumed average for transport)</w:t>
      </w:r>
    </w:p>
    <w:p>
      <w:pPr>
        <w:numPr>
          <w:ilvl w:val="0"/>
          <w:numId w:val="1008"/>
        </w:numPr>
        <w:pStyle w:val="Compact"/>
      </w:pPr>
      <w:r>
        <w:t xml:space="preserve">Inbound Transport Distance: 8,000 km [cite: neqrxixtzt]</w:t>
      </w:r>
    </w:p>
    <w:p>
      <w:pPr>
        <w:numPr>
          <w:ilvl w:val="0"/>
          <w:numId w:val="1008"/>
        </w:numPr>
        <w:pStyle w:val="Compact"/>
      </w:pPr>
      <w:r>
        <w:t xml:space="preserve">Inbound Transport Mode: Ocean Freight [cite: Select Mode]</w:t>
      </w:r>
    </w:p>
    <w:p>
      <w:pPr>
        <w:numPr>
          <w:ilvl w:val="0"/>
          <w:numId w:val="1008"/>
        </w:numPr>
        <w:pStyle w:val="Compact"/>
      </w:pPr>
      <w:r>
        <w:t xml:space="preserve">Ocean Freight Emission Factor: 0.016 kgCO2e/tkm</w:t>
      </w:r>
    </w:p>
    <w:p>
      <w:pPr>
        <w:numPr>
          <w:ilvl w:val="0"/>
          <w:numId w:val="1008"/>
        </w:numPr>
        <w:pStyle w:val="Compact"/>
      </w:pPr>
      <w:r>
        <w:rPr>
          <w:bCs/>
          <w:b/>
        </w:rPr>
        <w:t xml:space="preserve">Inbound Transport Emissions:</w:t>
      </w:r>
      <w:r>
        <w:t xml:space="preserve"> </w:t>
      </w:r>
      <w:r>
        <w:t xml:space="preserve">0.001 tonne * 8,000 km * 0.016 kgCO2e/tkm =</w:t>
      </w:r>
      <w:r>
        <w:t xml:space="preserve"> </w:t>
      </w:r>
      <w:r>
        <w:rPr>
          <w:bCs/>
          <w:b/>
        </w:rPr>
        <w:t xml:space="preserve">0.128 kgCO2e</w:t>
      </w:r>
    </w:p>
    <w:bookmarkEnd w:id="35"/>
    <w:bookmarkStart w:id="36" w:name="X25a0837e2ca53a982bfb6f58a50970139f4f25f"/>
    <w:p>
      <w:pPr>
        <w:pStyle w:val="Heading4"/>
      </w:pPr>
      <w:r>
        <w:t xml:space="preserve">4.3.3. Category 9: Downstream Transportation and Distribution</w:t>
      </w:r>
    </w:p>
    <w:p>
      <w:pPr>
        <w:pStyle w:val="FirstParagraph"/>
      </w:pPr>
      <w:r>
        <w:t xml:space="preserve">Emissions from the transportation and distribution of the final product from the manufacturing facility to the end-consumer.</w:t>
      </w:r>
    </w:p>
    <w:p>
      <w:pPr>
        <w:numPr>
          <w:ilvl w:val="0"/>
          <w:numId w:val="1009"/>
        </w:numPr>
        <w:pStyle w:val="Compact"/>
      </w:pPr>
      <w:r>
        <w:t xml:space="preserve">Product Weight: 1.0 kg = 0.001 tonne</w:t>
      </w:r>
    </w:p>
    <w:p>
      <w:pPr>
        <w:numPr>
          <w:ilvl w:val="0"/>
          <w:numId w:val="1009"/>
        </w:numPr>
        <w:pStyle w:val="Compact"/>
      </w:pPr>
      <w:r>
        <w:t xml:space="preserve">Outbound Transport Distance (Primary Distribution): 1,000 km [cite: neqrxixtzt]</w:t>
      </w:r>
    </w:p>
    <w:p>
      <w:pPr>
        <w:numPr>
          <w:ilvl w:val="0"/>
          <w:numId w:val="1009"/>
        </w:numPr>
        <w:pStyle w:val="Compact"/>
      </w:pPr>
      <w:r>
        <w:t xml:space="preserve">Outbound Transport Mode: Road Freight (Heavy Goods Vehicle) [cite: Select Mode]</w:t>
      </w:r>
    </w:p>
    <w:p>
      <w:pPr>
        <w:numPr>
          <w:ilvl w:val="0"/>
          <w:numId w:val="1009"/>
        </w:numPr>
        <w:pStyle w:val="Compact"/>
      </w:pPr>
      <w:r>
        <w:t xml:space="preserve">Road Freight Emission Factor: 0.062 kgCO2e/tkm</w:t>
      </w:r>
    </w:p>
    <w:p>
      <w:pPr>
        <w:numPr>
          <w:ilvl w:val="0"/>
          <w:numId w:val="1009"/>
        </w:numPr>
        <w:pStyle w:val="Compact"/>
      </w:pPr>
      <w:r>
        <w:rPr>
          <w:bCs/>
          <w:b/>
        </w:rPr>
        <w:t xml:space="preserve">Outbound Transport Emissions:</w:t>
      </w:r>
      <w:r>
        <w:t xml:space="preserve"> </w:t>
      </w:r>
      <w:r>
        <w:t xml:space="preserve">0.001 tonne * 1,000 km * 0.062 kgCO2e/tkm =</w:t>
      </w:r>
      <w:r>
        <w:t xml:space="preserve"> </w:t>
      </w:r>
      <w:r>
        <w:rPr>
          <w:bCs/>
          <w:b/>
        </w:rPr>
        <w:t xml:space="preserve">0.062 kgCO2e</w:t>
      </w:r>
    </w:p>
    <w:p>
      <w:pPr>
        <w:numPr>
          <w:ilvl w:val="0"/>
          <w:numId w:val="1010"/>
        </w:numPr>
        <w:pStyle w:val="Compact"/>
      </w:pPr>
      <w:r>
        <w:t xml:space="preserve">Last-Mile Delivery Distance: 100 km [cite: neqrxixtzt]</w:t>
      </w:r>
    </w:p>
    <w:p>
      <w:pPr>
        <w:numPr>
          <w:ilvl w:val="0"/>
          <w:numId w:val="1010"/>
        </w:numPr>
        <w:pStyle w:val="Compact"/>
      </w:pPr>
      <w:r>
        <w:t xml:space="preserve">Last-Mile Delivery Channel: Direct to Consumer via Road Freight [cite: Delivery Type]</w:t>
      </w:r>
    </w:p>
    <w:p>
      <w:pPr>
        <w:numPr>
          <w:ilvl w:val="0"/>
          <w:numId w:val="1010"/>
        </w:numPr>
        <w:pStyle w:val="Compact"/>
      </w:pPr>
      <w:r>
        <w:t xml:space="preserve">Road Freight Emission Factor: 0.062 kgCO2e/tkm</w:t>
      </w:r>
    </w:p>
    <w:p>
      <w:pPr>
        <w:numPr>
          <w:ilvl w:val="0"/>
          <w:numId w:val="1010"/>
        </w:numPr>
        <w:pStyle w:val="Compact"/>
      </w:pPr>
      <w:r>
        <w:rPr>
          <w:bCs/>
          <w:b/>
        </w:rPr>
        <w:t xml:space="preserve">Last-Mile Delivery Emissions:</w:t>
      </w:r>
      <w:r>
        <w:t xml:space="preserve"> </w:t>
      </w:r>
      <w:r>
        <w:t xml:space="preserve">0.001 tonne * 100 km * 0.062 kgCO2e/tkm =</w:t>
      </w:r>
      <w:r>
        <w:t xml:space="preserve"> </w:t>
      </w:r>
      <w:r>
        <w:rPr>
          <w:bCs/>
          <w:b/>
        </w:rPr>
        <w:t xml:space="preserve">0.0062 kgCO2e</w:t>
      </w:r>
    </w:p>
    <w:p>
      <w:pPr>
        <w:pStyle w:val="FirstParagraph"/>
      </w:pPr>
      <w:r>
        <w:rPr>
          <w:bCs/>
          <w:b/>
        </w:rPr>
        <w:t xml:space="preserve">Total Downstream Transport Emissions:</w:t>
      </w:r>
      <w:r>
        <w:t xml:space="preserve"> </w:t>
      </w:r>
      <w:r>
        <w:t xml:space="preserve">0.062 kgCO2e + 0.0062 kgCO2e =</w:t>
      </w:r>
      <w:r>
        <w:t xml:space="preserve"> </w:t>
      </w:r>
      <w:r>
        <w:rPr>
          <w:bCs/>
          <w:b/>
        </w:rPr>
        <w:t xml:space="preserve">0.0682 kgCO2e</w:t>
      </w:r>
    </w:p>
    <w:bookmarkEnd w:id="36"/>
    <w:bookmarkStart w:id="37" w:name="category-11-use-of-sold-products"/>
    <w:p>
      <w:pPr>
        <w:pStyle w:val="Heading4"/>
      </w:pPr>
      <w:r>
        <w:t xml:space="preserve">4.3.4. Category 11: Use of Sold Products</w:t>
      </w:r>
    </w:p>
    <w:p>
      <w:pPr>
        <w:pStyle w:val="FirstParagraph"/>
      </w:pPr>
      <w:r>
        <w:t xml:space="preserve">Emissions from the energy consumption during the product\'s use phase by the end-consumer.</w:t>
      </w:r>
    </w:p>
    <w:p>
      <w:pPr>
        <w:numPr>
          <w:ilvl w:val="0"/>
          <w:numId w:val="1011"/>
        </w:numPr>
        <w:pStyle w:val="Compact"/>
      </w:pPr>
      <w:r>
        <w:t xml:space="preserve">Product Lifespan: 5 years [cite: zpwuxwnvuz]</w:t>
      </w:r>
    </w:p>
    <w:p>
      <w:pPr>
        <w:numPr>
          <w:ilvl w:val="0"/>
          <w:numId w:val="1011"/>
        </w:numPr>
        <w:pStyle w:val="Compact"/>
      </w:pPr>
      <w:r>
        <w:t xml:space="preserve">Energy Consumption in Use: 10 kWh/year [cite: wzdtrnzuyj]</w:t>
      </w:r>
    </w:p>
    <w:p>
      <w:pPr>
        <w:numPr>
          <w:ilvl w:val="0"/>
          <w:numId w:val="1011"/>
        </w:numPr>
        <w:pStyle w:val="Compact"/>
      </w:pPr>
      <w:r>
        <w:t xml:space="preserve">Total Energy in Use: 10 kWh/year * 5 years = 50 kWh</w:t>
      </w:r>
    </w:p>
    <w:p>
      <w:pPr>
        <w:numPr>
          <w:ilvl w:val="0"/>
          <w:numId w:val="1011"/>
        </w:numPr>
        <w:pStyle w:val="Compact"/>
      </w:pPr>
      <w:r>
        <w:t xml:space="preserve">Assumed Use Phase Electricity Emission Factor (Global Average): 0.40 kgCO2e/kWh</w:t>
      </w:r>
    </w:p>
    <w:p>
      <w:pPr>
        <w:numPr>
          <w:ilvl w:val="0"/>
          <w:numId w:val="1011"/>
        </w:numPr>
        <w:pStyle w:val="Compact"/>
      </w:pPr>
      <w:r>
        <w:rPr>
          <w:bCs/>
          <w:b/>
        </w:rPr>
        <w:t xml:space="preserve">Use Phase Emissions:</w:t>
      </w:r>
      <w:r>
        <w:t xml:space="preserve"> </w:t>
      </w:r>
      <w:r>
        <w:t xml:space="preserve">50 kWh * 0.40 kgCO2e/kWh =</w:t>
      </w:r>
      <w:r>
        <w:t xml:space="preserve"> </w:t>
      </w:r>
      <w:r>
        <w:rPr>
          <w:bCs/>
          <w:b/>
        </w:rPr>
        <w:t xml:space="preserve">20.00 kgCO2e</w:t>
      </w:r>
    </w:p>
    <w:bookmarkEnd w:id="37"/>
    <w:bookmarkStart w:id="38" w:name="X9f66eef2700632e081dfe139021cb724ffcd2c5"/>
    <w:p>
      <w:pPr>
        <w:pStyle w:val="Heading4"/>
      </w:pPr>
      <w:r>
        <w:t xml:space="preserve">4.3.5. Category 12: End-of-Life Treatment of Sold Products</w:t>
      </w:r>
    </w:p>
    <w:p>
      <w:pPr>
        <w:pStyle w:val="FirstParagraph"/>
      </w:pPr>
      <w:r>
        <w:t xml:space="preserve">Emissions from the disposal and treatment of the product at the end of its life. This includes emissions from non-recycled waste sent to landfill.</w:t>
      </w:r>
    </w:p>
    <w:p>
      <w:pPr>
        <w:numPr>
          <w:ilvl w:val="0"/>
          <w:numId w:val="1012"/>
        </w:numPr>
        <w:pStyle w:val="Compact"/>
      </w:pPr>
      <w:r>
        <w:t xml:space="preserve">Product Weight: 1.0 kg (Assumed average)</w:t>
      </w:r>
    </w:p>
    <w:p>
      <w:pPr>
        <w:numPr>
          <w:ilvl w:val="0"/>
          <w:numId w:val="1012"/>
        </w:numPr>
        <w:pStyle w:val="Compact"/>
      </w:pPr>
      <w:r>
        <w:t xml:space="preserve">Recyclability Percentage: 80% [cite: tseogirxwt]</w:t>
      </w:r>
    </w:p>
    <w:p>
      <w:pPr>
        <w:numPr>
          <w:ilvl w:val="0"/>
          <w:numId w:val="1012"/>
        </w:numPr>
        <w:pStyle w:val="Compact"/>
      </w:pPr>
      <w:r>
        <w:t xml:space="preserve">Non-Recycled Waste: 1.0 kg * (1 - 0.80) = 0.2 kg</w:t>
      </w:r>
    </w:p>
    <w:p>
      <w:pPr>
        <w:numPr>
          <w:ilvl w:val="0"/>
          <w:numId w:val="1012"/>
        </w:numPr>
        <w:pStyle w:val="Compact"/>
      </w:pPr>
      <w:r>
        <w:t xml:space="preserve">Landfill Emission Factor: 0.5 kgCO2e/kg</w:t>
      </w:r>
    </w:p>
    <w:p>
      <w:pPr>
        <w:numPr>
          <w:ilvl w:val="0"/>
          <w:numId w:val="1012"/>
        </w:numPr>
        <w:pStyle w:val="Compact"/>
      </w:pPr>
      <w:r>
        <w:rPr>
          <w:bCs/>
          <w:b/>
        </w:rPr>
        <w:t xml:space="preserve">End-of-Life Emissions (Non-Recycled):</w:t>
      </w:r>
      <w:r>
        <w:t xml:space="preserve"> </w:t>
      </w:r>
      <w:r>
        <w:t xml:space="preserve">0.2 kg * 0.5 kgCO2e/kg =</w:t>
      </w:r>
      <w:r>
        <w:t xml:space="preserve"> </w:t>
      </w:r>
      <w:r>
        <w:rPr>
          <w:bCs/>
          <w:b/>
        </w:rPr>
        <w:t xml:space="preserve">0.10 kgCO2e</w:t>
      </w:r>
    </w:p>
    <w:p>
      <w:pPr>
        <w:pStyle w:val="FirstParagraph"/>
      </w:pPr>
      <w:r>
        <w:t xml:space="preserve">The presence of circular/take-back programs (</w:t>
      </w:r>
      <w:r>
        <w:rPr>
          <w:rStyle w:val="VerbatimChar"/>
        </w:rPr>
        <w:t xml:space="preserve">neyqyieoly</w:t>
      </w:r>
      <w:r>
        <w:t xml:space="preserve">) and a high recyclability percentage (80%) indicates efforts to reduce end-of-life impacts. The 80% recycled portion of the product would typically lead to avoided emissions from virgin material production. While not directly quantified as a negative emission in the total PCF in this report to avoid complex allocation assumptions without specific data, these programs are crucial for reducing overall value chain emissions.</w:t>
      </w:r>
    </w:p>
    <w:bookmarkEnd w:id="38"/>
    <w:bookmarkEnd w:id="39"/>
    <w:bookmarkStart w:id="40"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(Purchased Goods and Services)</w:t>
            </w:r>
          </w:p>
        </w:tc>
        <w:tc>
          <w:tcPr/>
          <w:p>
            <w:pPr>
              <w:pStyle w:val="Compact"/>
              <w:jc w:val="left"/>
            </w:pPr>
            <w:r>
              <w:t xml:space="preserve">Scope 3 (Category 1)</w:t>
            </w:r>
          </w:p>
        </w:tc>
        <w:tc>
          <w:tcPr/>
          <w:p>
            <w:pPr>
              <w:pStyle w:val="Compact"/>
              <w:jc w:val="left"/>
            </w:pPr>
            <w:r>
              <w:t xml:space="preserve">4.33</w:t>
            </w:r>
          </w:p>
        </w:tc>
      </w:tr>
      <w:tr>
        <w:tc>
          <w:tcPr/>
          <w:p>
            <w:pPr>
              <w:pStyle w:val="Compact"/>
              <w:jc w:val="left"/>
            </w:pPr>
            <w:r>
              <w:t xml:space="preserve">Manufacturing Energy (Purchased Electricity)</w:t>
            </w:r>
          </w:p>
        </w:tc>
        <w:tc>
          <w:tcPr/>
          <w:p>
            <w:pPr>
              <w:pStyle w:val="Compact"/>
              <w:jc w:val="left"/>
            </w:pPr>
            <w:r>
              <w:t xml:space="preserve">Scope 2</w:t>
            </w:r>
          </w:p>
        </w:tc>
        <w:tc>
          <w:tcPr/>
          <w:p>
            <w:pPr>
              <w:pStyle w:val="Compact"/>
              <w:jc w:val="left"/>
            </w:pPr>
            <w:r>
              <w:t xml:space="preserve">3.60</w:t>
            </w:r>
          </w:p>
        </w:tc>
      </w:tr>
      <w:tr>
        <w:tc>
          <w:tcPr/>
          <w:p>
            <w:pPr>
              <w:pStyle w:val="Compact"/>
              <w:jc w:val="left"/>
            </w:pPr>
            <w:r>
              <w:t xml:space="preserve">Upstream Transportation (Inbound)</w:t>
            </w:r>
          </w:p>
        </w:tc>
        <w:tc>
          <w:tcPr/>
          <w:p>
            <w:pPr>
              <w:pStyle w:val="Compact"/>
              <w:jc w:val="left"/>
            </w:pPr>
            <w:r>
              <w:t xml:space="preserve">Scope 3 (Category 4)</w:t>
            </w:r>
          </w:p>
        </w:tc>
        <w:tc>
          <w:tcPr/>
          <w:p>
            <w:pPr>
              <w:pStyle w:val="Compact"/>
              <w:jc w:val="left"/>
            </w:pPr>
            <w:r>
              <w:t xml:space="preserve">0.128</w:t>
            </w:r>
          </w:p>
        </w:tc>
      </w:tr>
      <w:tr>
        <w:tc>
          <w:tcPr/>
          <w:p>
            <w:pPr>
              <w:pStyle w:val="Compact"/>
              <w:jc w:val="left"/>
            </w:pPr>
            <w:r>
              <w:t xml:space="preserve">Downstream Transportation (Outbound &amp; Last-Mile)</w:t>
            </w:r>
          </w:p>
        </w:tc>
        <w:tc>
          <w:tcPr/>
          <w:p>
            <w:pPr>
              <w:pStyle w:val="Compact"/>
              <w:jc w:val="left"/>
            </w:pPr>
            <w:r>
              <w:t xml:space="preserve">Scope 3 (Category 9)</w:t>
            </w:r>
          </w:p>
        </w:tc>
        <w:tc>
          <w:tcPr/>
          <w:p>
            <w:pPr>
              <w:pStyle w:val="Compact"/>
              <w:jc w:val="left"/>
            </w:pPr>
            <w:r>
              <w:t xml:space="preserve">0.0682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r>
      <w:tr>
        <w:tc>
          <w:tcPr/>
          <w:p>
            <w:pPr>
              <w:pStyle w:val="Compact"/>
              <w:jc w:val="left"/>
            </w:pPr>
            <w:r>
              <w:t xml:space="preserve">End-of-Life (Non-Recycled Waste)</w:t>
            </w:r>
          </w:p>
        </w:tc>
        <w:tc>
          <w:tcPr/>
          <w:p>
            <w:pPr>
              <w:pStyle w:val="Compact"/>
              <w:jc w:val="left"/>
            </w:pPr>
            <w:r>
              <w:t xml:space="preserve">Scope 3 (Category 12)</w:t>
            </w:r>
          </w:p>
        </w:tc>
        <w:tc>
          <w:tcPr/>
          <w:p>
            <w:pPr>
              <w:pStyle w:val="Compact"/>
              <w:jc w:val="left"/>
            </w:pPr>
            <w:r>
              <w:t xml:space="preserve">0.10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28.2262 kgCO2e</w:t>
            </w:r>
          </w:p>
        </w:tc>
      </w:tr>
    </w:tbl>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major emission hotspots for jmrnpkddup:</w:t>
      </w:r>
    </w:p>
    <w:p>
      <w:pPr>
        <w:numPr>
          <w:ilvl w:val="0"/>
          <w:numId w:val="1013"/>
        </w:numPr>
        <w:pStyle w:val="Compact"/>
      </w:pPr>
      <w:r>
        <w:rPr>
          <w:bCs/>
          <w:b/>
        </w:rPr>
        <w:t xml:space="preserve">Use Phase (70.8% of total PCF):</w:t>
      </w:r>
      <w:r>
        <w:t xml:space="preserve"> </w:t>
      </w:r>
      <w:r>
        <w:t xml:space="preserve">The most significant contributor to the product\'s carbon footprint is the energy consumed during its 5-year lifespan. This highlights the critical importance of energy efficiency in product design and user behavior.</w:t>
      </w:r>
    </w:p>
    <w:p>
      <w:pPr>
        <w:numPr>
          <w:ilvl w:val="0"/>
          <w:numId w:val="1013"/>
        </w:numPr>
        <w:pStyle w:val="Compact"/>
      </w:pPr>
      <w:r>
        <w:rPr>
          <w:bCs/>
          <w:b/>
        </w:rPr>
        <w:t xml:space="preserve">Materials (15.3% of total PCF):</w:t>
      </w:r>
      <w:r>
        <w:t xml:space="preserve"> </w:t>
      </w:r>
      <w:r>
        <w:t xml:space="preserve">The production of raw materials, particularly plastics and metals, represents the second largest hotspot. This underscores the need for sustainable material sourcing, lightweighting, and increased recycled content.</w:t>
      </w:r>
    </w:p>
    <w:p>
      <w:pPr>
        <w:numPr>
          <w:ilvl w:val="0"/>
          <w:numId w:val="1013"/>
        </w:numPr>
        <w:pStyle w:val="Compact"/>
      </w:pPr>
      <w:r>
        <w:rPr>
          <w:bCs/>
          <w:b/>
        </w:rPr>
        <w:t xml:space="preserve">Manufacturing Energy (12.7% of total PCF):</w:t>
      </w:r>
      <w:r>
        <w:t xml:space="preserve"> </w:t>
      </w:r>
      <w:r>
        <w:t xml:space="preserve">While renewable energy usage is at 70%, the remaining 30% powered by the China grid contributes substantially. Further decarbonization of manufacturing operations, perhaps through 100% renewable energy procurement, would be beneficial.</w:t>
      </w:r>
    </w:p>
    <w:bookmarkEnd w:id="42"/>
    <w:bookmarkStart w:id="43" w:name="Xde0e215aa6f362ebb62191e23495fecc09c3de3"/>
    <w:p>
      <w:pPr>
        <w:pStyle w:val="Heading3"/>
      </w:pPr>
      <w:r>
        <w:t xml:space="preserve">5.2. Reliability Assessment and 2026 GHG Protocol Updates</w:t>
      </w:r>
    </w:p>
    <w:p>
      <w:pPr>
        <w:pStyle w:val="FirstParagraph"/>
      </w:pPr>
      <w:r>
        <w:t xml:space="preserve">The reliability of this PCF analysis is contingent upon the accuracy of the input data and emission factors. For the purpose of this demonstration, assumed values and generic industry-standard emission factors have been utilized where specific data was provided as placeholders. A full, auditable PCF would require primary data from suppliers and precise regional emission factors.</w:t>
      </w:r>
    </w:p>
    <w:p>
      <w:pPr>
        <w:pStyle w:val="BodyText"/>
      </w:pPr>
      <w:r>
        <w:t xml:space="preserve">This report incorporates the key aspects of the GHG Protocol\'s 2026 updates:</w:t>
      </w:r>
    </w:p>
    <w:p>
      <w:pPr>
        <w:numPr>
          <w:ilvl w:val="0"/>
          <w:numId w:val="1014"/>
        </w:numPr>
        <w:pStyle w:val="Compact"/>
      </w:pPr>
      <w:r>
        <w:rPr>
          <w:bCs/>
          <w:b/>
        </w:rPr>
        <w:t xml:space="preserve">95% Scope 3 Coverage:</w:t>
      </w:r>
      <w:r>
        <w:t xml:space="preserve"> </w:t>
      </w:r>
      <w:r>
        <w:t xml:space="preserve">This analysis has accounted for all identified relevant Scope 3 categories (Purchased Goods and Services, Upstream and Downstream Transportation, Use of Sold Products, and End-of-Life Treatment of Sold Products), demonstrating 100% coverage of these categories based on the provided parameters. In a real-world scenario, this would involve a thorough materiality assessment across all 15 (or 16 with the proposed new Category 16 for Beyond Physical Ownership) Scope 3 categories to ensure at least 95% of total relevant Scope 3 emissions are reported for conformance.</w:t>
      </w:r>
    </w:p>
    <w:p>
      <w:pPr>
        <w:numPr>
          <w:ilvl w:val="0"/>
          <w:numId w:val="1014"/>
        </w:numPr>
        <w:pStyle w:val="Compact"/>
      </w:pPr>
      <w:r>
        <w:rPr>
          <w:bCs/>
          <w:b/>
        </w:rPr>
        <w:t xml:space="preserve">Land Sector and Removals (LSR) Standard:</w:t>
      </w:r>
      <w:r>
        <w:t xml:space="preserve"> </w:t>
      </w:r>
      <w:r>
        <w:t xml:space="preserve">The GHG Protocol Land Sector and Removals (LSR) Standard, published on January 30, 2026, and effective January 1, 2027, has been considered. This standard provides requirements for accounting for emissions and carbon removals from agricultural and land use activities. While specific land-use data for jmrnpkddup was not provided, future analyses, particularly for products with significant agricultural or land-based components, would explicitly integrate LSR Standard requirements. This version of the LSR Standard does not include forest carbon accounting.</w:t>
      </w:r>
    </w:p>
    <w:p>
      <w:pPr>
        <w:numPr>
          <w:ilvl w:val="0"/>
          <w:numId w:val="1014"/>
        </w:numPr>
        <w:pStyle w:val="Compact"/>
      </w:pPr>
      <w:r>
        <w:rPr>
          <w:bCs/>
          <w:b/>
        </w:rPr>
        <w:t xml:space="preserve">Mandatory Data Disaggregation &amp; Stock-Based Accounting:</w:t>
      </w:r>
      <w:r>
        <w:t xml:space="preserve"> </w:t>
      </w:r>
      <w:r>
        <w:t xml:space="preserve">The 2026 updates also propose mandatory data disaggregation by source type and a shift towards stock-based accounting for circular economy alignment. Future reporting will necessitate more granular data collection and an annualized perspective on product emissions, rewarding durability.</w:t>
      </w:r>
    </w:p>
    <w:p>
      <w:r>
        <w:pict>
          <v:rect style="width:0;height:1.5pt" o:hralign="center" o:hrstd="t" o:hr="t"/>
        </w:pict>
      </w:r>
    </w:p>
    <w:bookmarkEnd w:id="43"/>
    <w:bookmarkStart w:id="44" w:name="recommendations"/>
    <w:p>
      <w:pPr>
        <w:pStyle w:val="Heading3"/>
      </w:pPr>
      <w:r>
        <w:t xml:space="preserve">5.3. Recommendations</w:t>
      </w:r>
    </w:p>
    <w:p>
      <w:pPr>
        <w:pStyle w:val="FirstParagraph"/>
      </w:pPr>
      <w:r>
        <w:t xml:space="preserve">Based on this PCF analysis, idiwtulssv is recommended to focus on the following areas to reduce the carbon footprint of jmrnpkddup:</w:t>
      </w:r>
    </w:p>
    <w:p>
      <w:pPr>
        <w:numPr>
          <w:ilvl w:val="0"/>
          <w:numId w:val="1015"/>
        </w:numPr>
        <w:pStyle w:val="Compact"/>
      </w:pPr>
      <w:r>
        <w:rPr>
          <w:bCs/>
          <w:b/>
        </w:rPr>
        <w:t xml:space="preserve">Energy Efficiency in Use Phase:</w:t>
      </w:r>
      <w:r>
        <w:t xml:space="preserve"> </w:t>
      </w:r>
      <w:r>
        <w:t xml:space="preserve">Invest in R&amp;D to significantly improve the energy efficiency of jmrnpkddup during its operational lifespan. This represents the largest opportunity for reduction.</w:t>
      </w:r>
    </w:p>
    <w:p>
      <w:pPr>
        <w:numPr>
          <w:ilvl w:val="0"/>
          <w:numId w:val="1015"/>
        </w:numPr>
        <w:pStyle w:val="Compact"/>
      </w:pPr>
      <w:r>
        <w:rPr>
          <w:bCs/>
          <w:b/>
        </w:rPr>
        <w:t xml:space="preserve">Sustainable Material Sourcing:</w:t>
      </w:r>
      <w:r>
        <w:t xml:space="preserve"> </w:t>
      </w:r>
      <w:r>
        <w:t xml:space="preserve">Explore alternative materials with lower embodied carbon, increase the percentage of recycled content, and engage with suppliers to reduce upstream material impacts.</w:t>
      </w:r>
    </w:p>
    <w:p>
      <w:pPr>
        <w:numPr>
          <w:ilvl w:val="0"/>
          <w:numId w:val="1015"/>
        </w:numPr>
        <w:pStyle w:val="Compact"/>
      </w:pPr>
      <w:r>
        <w:rPr>
          <w:bCs/>
          <w:b/>
        </w:rPr>
        <w:t xml:space="preserve">Manufacturing Decarbonization:</w:t>
      </w:r>
      <w:r>
        <w:t xml:space="preserve"> </w:t>
      </w:r>
      <w:r>
        <w:t xml:space="preserve">Aim for 100% renewable energy usage in manufacturing facilities, particularly in China, through renewable energy certificates (RECs), power purchase agreements (PPAs), or on-site generation.</w:t>
      </w:r>
    </w:p>
    <w:p>
      <w:pPr>
        <w:numPr>
          <w:ilvl w:val="0"/>
          <w:numId w:val="1015"/>
        </w:numPr>
        <w:pStyle w:val="Compact"/>
      </w:pPr>
      <w:r>
        <w:rPr>
          <w:bCs/>
          <w:b/>
        </w:rPr>
        <w:t xml:space="preserve">Supply Chain Optimization:</w:t>
      </w:r>
      <w:r>
        <w:t xml:space="preserve"> </w:t>
      </w:r>
      <w:r>
        <w:t xml:space="preserve">Optimize logistics by exploring more carbon-efficient transport modes where feasible (e.g., rail over road for longer distances in Europe) and consolidating shipments to improve load factors.</w:t>
      </w:r>
    </w:p>
    <w:p>
      <w:pPr>
        <w:numPr>
          <w:ilvl w:val="0"/>
          <w:numId w:val="1015"/>
        </w:numPr>
        <w:pStyle w:val="Compact"/>
      </w:pPr>
      <w:r>
        <w:rPr>
          <w:bCs/>
          <w:b/>
        </w:rPr>
        <w:t xml:space="preserve">Enhance Circularity:</w:t>
      </w:r>
      <w:r>
        <w:t xml:space="preserve"> </w:t>
      </w:r>
      <w:r>
        <w:t xml:space="preserve">Leverage the "Yes, active take-back program" (</w:t>
      </w:r>
      <w:r>
        <w:rPr>
          <w:rStyle w:val="VerbatimChar"/>
        </w:rPr>
        <w:t xml:space="preserve">neyqyieoly</w:t>
      </w:r>
      <w:r>
        <w:t xml:space="preserve">) to maximize actual material recovery and re-entry into the production cycle, thereby further reducing the reliance on virgin materials and associated emissions.</w:t>
      </w:r>
    </w:p>
    <w:p>
      <w:pPr>
        <w:numPr>
          <w:ilvl w:val="0"/>
          <w:numId w:val="1015"/>
        </w:numPr>
        <w:pStyle w:val="Compact"/>
      </w:pPr>
      <w:r>
        <w:rPr>
          <w:bCs/>
          <w:b/>
        </w:rPr>
        <w:t xml:space="preserve">Data Improvement:</w:t>
      </w:r>
      <w:r>
        <w:t xml:space="preserve"> </w:t>
      </w:r>
      <w:r>
        <w:t xml:space="preserve">For future iterations, collect primary data for all material inputs, specific transport routes and modes, and actual energy consumption during the use phase to enhance accuracy and enable more targeted interventions.</w:t>
      </w:r>
    </w:p>
    <w:p>
      <w:r>
        <w:pict>
          <v:rect style="width:0;height:1.5pt" o:hralign="center" o:hrstd="t" o:hr="t"/>
        </w:pict>
      </w:r>
    </w:p>
    <w:p>
      <w:pPr>
        <w:pStyle w:val="FirstParagraph"/>
      </w:pPr>
      <w:r>
        <w:t xml:space="preserve">Confidential - Internal Use Only | Page</w:t>
      </w:r>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jmrnpkddup</dc:title>
  <dc:creator/>
  <dc:description>Detailed Product Carbon Footprint (PCF) analysis report for product jmrnpkddup, following GHG Protocol standards and 2026 updates.</dc:description>
  <dc:language>en</dc:language>
  <cp:keywords/>
  <dcterms:created xsi:type="dcterms:W3CDTF">2026-07-15T19:41:04Z</dcterms:created>
  <dcterms:modified xsi:type="dcterms:W3CDTF">2026-07-15T19:41:04Z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