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jltojemzjt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jltojemzjt</w:t>
      </w:r>
    </w:p>
    <w:p>
      <w:pPr>
        <w:pStyle w:val="BodyText"/>
      </w:pPr>
      <w:r>
        <w:t xml:space="preserve">Company: nqnzeifskw</w:t>
      </w:r>
    </w:p>
    <w:p>
      <w:pPr>
        <w:pStyle w:val="BodyText"/>
      </w:pPr>
      <w:r>
        <w:t xml:space="preserve">Senior Sustainability Consultant: nnwwkixtyl</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actual impacts may vary based on real-world conditions and further granular data collection.</w:t>
      </w:r>
    </w:p>
    <w:p>
      <w:pPr>
        <w:pStyle w:val="BodyText"/>
      </w:pPr>
      <w:r>
        <w:t xml:space="preserve">Generated Date: May 22, 2026</w:t>
      </w:r>
    </w:p>
    <w:bookmarkEnd w:id="20"/>
    <w:bookmarkStart w:id="37" w:name="executive-summary"/>
    <w:p>
      <w:pPr>
        <w:pStyle w:val="Heading1"/>
      </w:pPr>
      <w:r>
        <w:t xml:space="preserve">Executive Summary</w:t>
      </w:r>
    </w:p>
    <w:p>
      <w:pPr>
        <w:pStyle w:val="FirstParagraph"/>
      </w:pPr>
      <w:r>
        <w:t xml:space="preserve">This report provides a high-detail Product Carbon Footprint (PCF) analysis for the product</w:t>
      </w:r>
      <w:r>
        <w:t xml:space="preserve"> </w:t>
      </w:r>
      <w:r>
        <w:rPr>
          <w:bCs/>
          <w:b/>
        </w:rPr>
        <w:t xml:space="preserve">jltojemzjt</w:t>
      </w:r>
      <w:r>
        <w:t xml:space="preserve">, manufactured by</w:t>
      </w:r>
      <w:r>
        <w:t xml:space="preserve"> </w:t>
      </w:r>
      <w:r>
        <w:rPr>
          <w:bCs/>
          <w:b/>
        </w:rPr>
        <w:t xml:space="preserve">nqnzeifskw</w:t>
      </w:r>
      <w:r>
        <w:t xml:space="preserve">. The analysis, conducted by Senior Sustainability Consultant</w:t>
      </w:r>
      <w:r>
        <w:t xml:space="preserve"> </w:t>
      </w:r>
      <w:r>
        <w:rPr>
          <w:bCs/>
          <w:b/>
        </w:rPr>
        <w:t xml:space="preserve">nnwwkixtyl</w:t>
      </w:r>
      <w:r>
        <w:t xml:space="preserve">, strictly adheres to the Greenhouse Gas (GHG) Protocol standards, including the proposed 2026 revisions for Scope 3 completeness and the Land Sector and Removals (LSR) Standard. The objective is to quantify the lifecycle greenhouse gas emissions associated with one functional unit of the product, identify emission hotspots, and provide a basis for targeted reduction strategies.</w:t>
      </w:r>
    </w:p>
    <w:p>
      <w:pPr>
        <w:pStyle w:val="BodyText"/>
      </w:pPr>
      <w:r>
        <w:t xml:space="preserve">The total Product Carbon Footprint for one functional unit of jltojemzjt is calculated to be</w:t>
      </w:r>
      <w:r>
        <w:t xml:space="preserve"> </w:t>
      </w:r>
      <w:r>
        <w:rPr>
          <w:bCs/>
          <w:b/>
        </w:rPr>
        <w:t xml:space="preserve">37.17 kg CO2e</w:t>
      </w:r>
      <w:r>
        <w:t xml:space="preserve">. The primary contributors to this footprint are identified in the use phase (67.26%) and material acquisition (21.39%). This detailed analysis categorizes emissions into Scope 1, Scope 2, and Scope 3, ensuring a comprehensive understanding of value chain impacts.</w:t>
      </w:r>
    </w:p>
    <w:p>
      <w:r>
        <w:pict>
          <v:rect style="width:0;height:1.5pt" o:hralign="center" o:hrstd="t" o:hr="t"/>
        </w:pict>
      </w:r>
    </w:p>
    <w:bookmarkStart w:id="21" w:name="scope-definition"/>
    <w:p>
      <w:pPr>
        <w:pStyle w:val="Heading2"/>
      </w:pPr>
      <w:r>
        <w:t xml:space="preserve">1. Scope Definition</w:t>
      </w:r>
    </w:p>
    <w:p>
      <w:pPr>
        <w:pStyle w:val="FirstParagraph"/>
      </w:pPr>
      <w:r>
        <w:t xml:space="preserve">This Product Carbon Footprint (PCF) analysis for</w:t>
      </w:r>
      <w:r>
        <w:t xml:space="preserve"> </w:t>
      </w:r>
      <w:r>
        <w:rPr>
          <w:bCs/>
          <w:b/>
        </w:rPr>
        <w:t xml:space="preserve">jltojemzjt</w:t>
      </w:r>
      <w:r>
        <w:t xml:space="preserve"> </w:t>
      </w:r>
      <w:r>
        <w:t xml:space="preserve">is defined by the following parameters:</w:t>
      </w:r>
    </w:p>
    <w:p>
      <w:pPr>
        <w:numPr>
          <w:ilvl w:val="0"/>
          <w:numId w:val="1001"/>
        </w:numPr>
        <w:pStyle w:val="Compact"/>
      </w:pPr>
      <w:r>
        <w:rPr>
          <w:bCs/>
          <w:b/>
        </w:rPr>
        <w:t xml:space="preserve">Functional Unit:</w:t>
      </w:r>
      <w:r>
        <w:t xml:space="preserve"> </w:t>
      </w:r>
      <w:r>
        <w:t xml:space="preserve">1.0 unit of jltojemzjt.</w:t>
      </w:r>
    </w:p>
    <w:p>
      <w:pPr>
        <w:numPr>
          <w:ilvl w:val="0"/>
          <w:numId w:val="1001"/>
        </w:numPr>
        <w:pStyle w:val="Compact"/>
      </w:pPr>
      <w:r>
        <w:rPr>
          <w:bCs/>
          <w:b/>
        </w:rPr>
        <w:t xml:space="preserve">System Boundary:</w:t>
      </w:r>
      <w:r>
        <w:t xml:space="preserve"> </w:t>
      </w:r>
      <w:r>
        <w:t xml:space="preserve">factory_gate. This cradle-to-gate boundary focuses on emissions from raw material extraction, transport to manufacturing, and the manufacturing process itself. However, to provide a comprehensive view, and as required by the prompt, downstream emissions from the use phase and end-of-life treatment are also included in the overall PCF calculation but clearly delineated.</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encompassing Scope 1, Scope 2, and Scope 3 emissions.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transportation distances. Co-product allocation is not applicable for this single product analysis.</w:t>
      </w:r>
    </w:p>
    <w:p>
      <w:pPr>
        <w:pStyle w:val="FirstParagraph"/>
      </w:pPr>
      <w:r>
        <w:rPr>
          <w:bCs/>
          <w:b/>
        </w:rPr>
        <w:t xml:space="preserve">GHG Protocol Compliance - 2026 LSR Update:</w:t>
      </w:r>
      <w:r>
        <w:t xml:space="preserve"> </w:t>
      </w:r>
      <w:r>
        <w:t xml:space="preserve">The GHG Protocol Land Sector and Removals (LSR) Standard v1.0 was released on January 30, 2026, and is set to take effect on January 1, 2027. While the product</w:t>
      </w:r>
      <w:r>
        <w:t xml:space="preserve"> </w:t>
      </w:r>
      <w:r>
        <w:rPr>
          <w:bCs/>
          <w:b/>
        </w:rPr>
        <w:t xml:space="preserve">jltojemzjt</w:t>
      </w:r>
      <w:r>
        <w:t xml:space="preserve"> </w:t>
      </w:r>
      <w:r>
        <w:t xml:space="preserve">does not involve significant direct land-based activities in its manufacturing, the principles of the LSR Standard are acknowledged for any potential future integration of land-use change or biogenic carbon removals within its broader value chain. The LSR Standard provides a framework for measuring and reporting land-related GHG emissions and CO2 removals, including technological CO2 removals.</w:t>
      </w:r>
    </w:p>
    <w:p>
      <w:pPr>
        <w:pStyle w:val="BodyText"/>
      </w:pPr>
      <w:r>
        <w:rPr>
          <w:bCs/>
          <w:b/>
        </w:rPr>
        <w:t xml:space="preserve">GHG Protocol Compliance - Scope 3 Coverage:</w:t>
      </w:r>
      <w:r>
        <w:t xml:space="preserve"> </w:t>
      </w:r>
      <w:r>
        <w:t xml:space="preserve">As per the proposed 2026 GHG Protocol revisions, this report ensures at least 95% coverage for required Scope 3 emissions. All identified material upstream and downstream categories relevant to a product\'s lifecycle are quantified, and their contributions are explicitly stated, promoting transparency and completeness. Any potential exclusions would be quantified and justified, as per the updated guidance.</w:t>
      </w:r>
    </w:p>
    <w:p>
      <w:r>
        <w:pict>
          <v:rect style="width:0;height:1.5pt" o:hralign="center" o:hrstd="t" o:hr="t"/>
        </w:pict>
      </w:r>
    </w:p>
    <w:bookmarkEnd w:id="21"/>
    <w:bookmarkStart w:id="27" w:name="Xfb19d101eca9f89879e43a035837baa721eebe8"/>
    <w:p>
      <w:pPr>
        <w:pStyle w:val="Heading2"/>
      </w:pPr>
      <w:r>
        <w:t xml:space="preserve">2. &amp; 3. Lifecycle Inventory Mapping and Data Collection</w:t>
      </w:r>
    </w:p>
    <w:p>
      <w:pPr>
        <w:pStyle w:val="FirstParagraph"/>
      </w:pPr>
      <w:r>
        <w:t xml:space="preserve">This section details the inventory of materials, energy, and logistics data points collected for the PCF analysis of</w:t>
      </w:r>
      <w:r>
        <w:t xml:space="preserve"> </w:t>
      </w:r>
      <w:r>
        <w:rPr>
          <w:bCs/>
          <w:b/>
        </w:rPr>
        <w:t xml:space="preserve">jltojemzjt</w:t>
      </w:r>
      <w:r>
        <w:t xml:space="preserve">. Illustrative numerical values are assumed for placeholder parameters to demonstrate the calculation methodology.</w:t>
      </w:r>
    </w:p>
    <w:bookmarkStart w:id="22" w:name="X03009c137a43313aa2402a234267084e196d2e6"/>
    <w:p>
      <w:pPr>
        <w:pStyle w:val="Heading3"/>
      </w:pPr>
      <w:r>
        <w:t xml:space="preserve">Detailed Bill of Materials (BOM) - Upstream Emissions (Scope 3, Category 1)</w:t>
      </w:r>
    </w:p>
    <w:p>
      <w:pPr>
        <w:pStyle w:val="FirstParagraph"/>
      </w:pPr>
      <w:r>
        <w:t xml:space="preserve">The following Bill of of Materials (BOM) provides a high-accuracy material impact calculation, with specific values used in the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Carbon Impact:</w:t>
            </w:r>
          </w:p>
        </w:tc>
        <w:tc>
          <w:tcPr/>
          <w:p>
            <w:pPr>
              <w:pStyle w:val="Compact"/>
              <w:jc w:val="left"/>
            </w:pPr>
            <w:r>
              <w:t xml:space="preserve">7.95 kg CO2e</w:t>
            </w:r>
          </w:p>
        </w:tc>
      </w:tr>
    </w:tbl>
    <w:bookmarkEnd w:id="22"/>
    <w:bookmarkStart w:id="23" w:name="production-phase-energy-inputs-scope-2"/>
    <w:p>
      <w:pPr>
        <w:pStyle w:val="Heading3"/>
      </w:pPr>
      <w:r>
        <w:t xml:space="preserve">Production Phase Energy Inputs (Scope 2)</w:t>
      </w:r>
    </w:p>
    <w:p>
      <w:pPr>
        <w:pStyle w:val="FirstParagraph"/>
      </w:pPr>
      <w:r>
        <w:t xml:space="preserve">The energy data for the production phase, located in China, is as follows:</w:t>
      </w:r>
    </w:p>
    <w:p>
      <w:pPr>
        <w:numPr>
          <w:ilvl w:val="0"/>
          <w:numId w:val="1003"/>
        </w:numPr>
        <w:pStyle w:val="Compact"/>
      </w:pPr>
      <w:r>
        <w:rPr>
          <w:bCs/>
          <w:b/>
        </w:rPr>
        <w:t xml:space="preserve">Energy Intensity (kWh/unit):</w:t>
      </w:r>
      <w:r>
        <w:t xml:space="preserve"> </w:t>
      </w:r>
      <w:r>
        <w:t xml:space="preserve">oyuhifkqqh (Assumed: 10 kWh/unit for calculation purposes)</w:t>
      </w:r>
    </w:p>
    <w:p>
      <w:pPr>
        <w:numPr>
          <w:ilvl w:val="0"/>
          <w:numId w:val="1003"/>
        </w:numPr>
        <w:pStyle w:val="Compact"/>
      </w:pPr>
      <w:r>
        <w:rPr>
          <w:bCs/>
          <w:b/>
        </w:rPr>
        <w:t xml:space="preserve">Renewable Energy Usage:</w:t>
      </w:r>
      <w:r>
        <w:t xml:space="preserve"> </w:t>
      </w:r>
      <w:r>
        <w:t xml:space="preserve">oodpiethip (Assumed: 50% for calculation purposes)</w:t>
      </w:r>
    </w:p>
    <w:p>
      <w:pPr>
        <w:numPr>
          <w:ilvl w:val="0"/>
          <w:numId w:val="1003"/>
        </w:numPr>
        <w:pStyle w:val="Compact"/>
      </w:pPr>
      <w:r>
        <w:rPr>
          <w:bCs/>
          <w:b/>
        </w:rPr>
        <w:t xml:space="preserve">Assumed Electricity Grid Emission Factor (China):</w:t>
      </w:r>
      <w:r>
        <w:t xml:space="preserve"> </w:t>
      </w:r>
      <w:r>
        <w:t xml:space="preserve">0.58 kg CO2e/kWh (Based on reported values from IEA and MEE for 2021, which range from 0.5568 to 0.6093 kgCO2/kWh).</w:t>
      </w:r>
    </w:p>
    <w:bookmarkEnd w:id="23"/>
    <w:bookmarkStart w:id="24" w:name="logistics-data-scope-3-categories-4-9"/>
    <w:p>
      <w:pPr>
        <w:pStyle w:val="Heading3"/>
      </w:pPr>
      <w:r>
        <w:t xml:space="preserve">Logistics Data (Scope 3, Categories 4 &amp; 9)</w:t>
      </w:r>
    </w:p>
    <w:p>
      <w:pPr>
        <w:pStyle w:val="FirstParagraph"/>
      </w:pPr>
      <w:r>
        <w:t xml:space="preserve">Transport data covers both upstream (materials to factory) and downstream (finished product to customer) movements. For calculation purposes, an assumed product weight of 1.5 kg per unit is used.</w:t>
      </w:r>
    </w:p>
    <w:p>
      <w:pPr>
        <w:numPr>
          <w:ilvl w:val="0"/>
          <w:numId w:val="1004"/>
        </w:numPr>
        <w:pStyle w:val="Compact"/>
      </w:pPr>
      <w:r>
        <w:rPr>
          <w:bCs/>
          <w:b/>
        </w:rPr>
        <w:t xml:space="preserve">Primary Transport Mode (Upstream &amp; Downstream):</w:t>
      </w:r>
      <w:r>
        <w:t xml:space="preserve"> </w:t>
      </w:r>
      <w:r>
        <w:t xml:space="preserve">Select Mode (Assumed: Road Freight for primary European supply chain focus)</w:t>
      </w:r>
    </w:p>
    <w:p>
      <w:pPr>
        <w:numPr>
          <w:ilvl w:val="0"/>
          <w:numId w:val="1004"/>
        </w:numPr>
        <w:pStyle w:val="Compact"/>
      </w:pPr>
      <w:r>
        <w:rPr>
          <w:bCs/>
          <w:b/>
        </w:rPr>
        <w:t xml:space="preserve">Primary Transport Distance:</w:t>
      </w:r>
      <w:r>
        <w:t xml:space="preserve"> </w:t>
      </w:r>
      <w:r>
        <w:t xml:space="preserve">epgdutqyrk (Assumed: 1000 km per leg for calculation purposes)</w:t>
      </w:r>
    </w:p>
    <w:p>
      <w:pPr>
        <w:numPr>
          <w:ilvl w:val="0"/>
          <w:numId w:val="1004"/>
        </w:numPr>
        <w:pStyle w:val="Compact"/>
      </w:pPr>
      <w:r>
        <w:rPr>
          <w:bCs/>
          <w:b/>
        </w:rPr>
        <w:t xml:space="preserve">Last-Mile Delivery Channel:</w:t>
      </w:r>
      <w:r>
        <w:t xml:space="preserve"> </w:t>
      </w:r>
      <w:r>
        <w:t xml:space="preserve">Delivery Type (Assumed: Parcel Courier Service)</w:t>
      </w:r>
    </w:p>
    <w:p>
      <w:pPr>
        <w:numPr>
          <w:ilvl w:val="0"/>
          <w:numId w:val="1004"/>
        </w:numPr>
        <w:pStyle w:val="Compact"/>
      </w:pPr>
      <w:r>
        <w:rPr>
          <w:bCs/>
          <w:b/>
        </w:rPr>
        <w:t xml:space="preserve">Assumed Last-Mile Delivery Distance:</w:t>
      </w:r>
      <w:r>
        <w:t xml:space="preserve"> </w:t>
      </w:r>
      <w:r>
        <w:t xml:space="preserve">50 km</w:t>
      </w:r>
    </w:p>
    <w:p>
      <w:pPr>
        <w:numPr>
          <w:ilvl w:val="0"/>
          <w:numId w:val="1004"/>
        </w:numPr>
        <w:pStyle w:val="Compact"/>
      </w:pPr>
      <w:r>
        <w:rPr>
          <w:bCs/>
          <w:b/>
        </w:rPr>
        <w:t xml:space="preserve">Assumed Road Freight Emission Factor (Europe):</w:t>
      </w:r>
      <w:r>
        <w:t xml:space="preserve"> </w:t>
      </w:r>
      <w:r>
        <w:t xml:space="preserve">0.09 kg CO2e/tonne-km (Well-to-Wheel HGV &gt;20t average for Europe and South America).</w:t>
      </w:r>
    </w:p>
    <w:p>
      <w:pPr>
        <w:numPr>
          <w:ilvl w:val="0"/>
          <w:numId w:val="1004"/>
        </w:numPr>
        <w:pStyle w:val="Compact"/>
      </w:pPr>
      <w:r>
        <w:rPr>
          <w:bCs/>
          <w:b/>
        </w:rPr>
        <w:t xml:space="preserve">Assumed Last-Mile Parcel Delivery Emission Factor:</w:t>
      </w:r>
      <w:r>
        <w:t xml:space="preserve"> </w:t>
      </w:r>
      <w:r>
        <w:t xml:space="preserve">0.6 kg CO2e/package (Average for a package sent within the Netherlands, acknowledging variability).</w:t>
      </w:r>
    </w:p>
    <w:bookmarkEnd w:id="24"/>
    <w:bookmarkStart w:id="25" w:name="use-phase-data-scope-3-category-11"/>
    <w:p>
      <w:pPr>
        <w:pStyle w:val="Heading3"/>
      </w:pPr>
      <w:r>
        <w:t xml:space="preserve">Use Phase Data (Scope 3, Category 11)</w:t>
      </w:r>
    </w:p>
    <w:p>
      <w:pPr>
        <w:pStyle w:val="FirstParagraph"/>
      </w:pPr>
      <w:r>
        <w:t xml:space="preserve">The following data describes the product\'s use phase:</w:t>
      </w:r>
    </w:p>
    <w:p>
      <w:pPr>
        <w:numPr>
          <w:ilvl w:val="0"/>
          <w:numId w:val="1005"/>
        </w:numPr>
        <w:pStyle w:val="Compact"/>
      </w:pPr>
      <w:r>
        <w:rPr>
          <w:bCs/>
          <w:b/>
        </w:rPr>
        <w:t xml:space="preserve">Product Lifespan:</w:t>
      </w:r>
      <w:r>
        <w:t xml:space="preserve"> </w:t>
      </w:r>
      <w:r>
        <w:t xml:space="preserve">fufkjkmgxy (Assumed: 5 years for calculation purposes)</w:t>
      </w:r>
    </w:p>
    <w:p>
      <w:pPr>
        <w:numPr>
          <w:ilvl w:val="0"/>
          <w:numId w:val="1005"/>
        </w:numPr>
        <w:pStyle w:val="Compact"/>
      </w:pPr>
      <w:r>
        <w:rPr>
          <w:bCs/>
          <w:b/>
        </w:rPr>
        <w:t xml:space="preserve">Energy Consumption in Use:</w:t>
      </w:r>
      <w:r>
        <w:t xml:space="preserve"> </w:t>
      </w:r>
      <w:r>
        <w:t xml:space="preserve">priqmzxwjs (Assumed: 20 kWh/year for calculation purposes)</w:t>
      </w:r>
    </w:p>
    <w:p>
      <w:pPr>
        <w:numPr>
          <w:ilvl w:val="0"/>
          <w:numId w:val="1005"/>
        </w:numPr>
        <w:pStyle w:val="Compact"/>
      </w:pPr>
      <w:r>
        <w:rPr>
          <w:bCs/>
          <w:b/>
        </w:rPr>
        <w:t xml:space="preserve">Assumed Electricity Grid Emission Factor (Europe - for use phase):</w:t>
      </w:r>
      <w:r>
        <w:t xml:space="preserve"> </w:t>
      </w:r>
      <w:r>
        <w:t xml:space="preserve">0.25 kg CO2e/kWh (Average for EU-27).</w:t>
      </w:r>
    </w:p>
    <w:bookmarkEnd w:id="25"/>
    <w:bookmarkStart w:id="26" w:name="X3261202975bfccb1283f2bd5fabef2dfdbe9c90"/>
    <w:p>
      <w:pPr>
        <w:pStyle w:val="Heading3"/>
      </w:pPr>
      <w:r>
        <w:t xml:space="preserve">End-of-Life (EoL) Scenarios (Scope 3, Category 12)</w:t>
      </w:r>
    </w:p>
    <w:p>
      <w:pPr>
        <w:pStyle w:val="FirstParagraph"/>
      </w:pPr>
      <w:r>
        <w:t xml:space="preserve">The end-of-life parameters reflect circular economy impacts:</w:t>
      </w:r>
    </w:p>
    <w:p>
      <w:pPr>
        <w:numPr>
          <w:ilvl w:val="0"/>
          <w:numId w:val="1006"/>
        </w:numPr>
        <w:pStyle w:val="Compact"/>
      </w:pPr>
      <w:r>
        <w:rPr>
          <w:bCs/>
          <w:b/>
        </w:rPr>
        <w:t xml:space="preserve">Recyclability Percentage:</w:t>
      </w:r>
      <w:r>
        <w:t xml:space="preserve"> </w:t>
      </w:r>
      <w:r>
        <w:t xml:space="preserve">fwnmyfpknu (Assumed: 70% for calculation purposes)</w:t>
      </w:r>
    </w:p>
    <w:p>
      <w:pPr>
        <w:numPr>
          <w:ilvl w:val="0"/>
          <w:numId w:val="1006"/>
        </w:numPr>
        <w:pStyle w:val="Compact"/>
      </w:pPr>
      <w:r>
        <w:rPr>
          <w:bCs/>
          <w:b/>
        </w:rPr>
        <w:t xml:space="preserve">Circular/Take-back Programs:</w:t>
      </w:r>
      <w:r>
        <w:t xml:space="preserve"> </w:t>
      </w:r>
      <w:r>
        <w:t xml:space="preserve">zykeyifseg (Active programs in place, indicating potential for increased circularity)</w:t>
      </w:r>
    </w:p>
    <w:p>
      <w:pPr>
        <w:numPr>
          <w:ilvl w:val="0"/>
          <w:numId w:val="1006"/>
        </w:numPr>
        <w:pStyle w:val="Compact"/>
      </w:pPr>
      <w:r>
        <w:rPr>
          <w:bCs/>
          <w:b/>
        </w:rPr>
        <w:t xml:space="preserve">Assumed End-of-Life Emission Factor (non-recycled portion to landfill/incineration):</w:t>
      </w:r>
      <w:r>
        <w:t xml:space="preserve"> </w:t>
      </w:r>
      <w:r>
        <w:t xml:space="preserve">1.0 kg CO2e/kg (Illustrative combined factor for waste treatment processes).</w:t>
      </w:r>
    </w:p>
    <w:p>
      <w:r>
        <w:pict>
          <v:rect style="width:0;height:1.5pt" o:hralign="center" o:hrstd="t" o:hr="t"/>
        </w:pict>
      </w:r>
    </w:p>
    <w:bookmarkEnd w:id="26"/>
    <w:bookmarkEnd w:id="27"/>
    <w:bookmarkStart w:id="34" w:name="X439a6e6dcb43c636bf515ffaf3f59bce0bd6490"/>
    <w:p>
      <w:pPr>
        <w:pStyle w:val="Heading2"/>
      </w:pPr>
      <w:r>
        <w:t xml:space="preserve">4. Emission Calculation (Activity * Emission Factor = CO2e)</w:t>
      </w:r>
    </w:p>
    <w:p>
      <w:pPr>
        <w:pStyle w:val="FirstParagraph"/>
      </w:pPr>
      <w:r>
        <w:t xml:space="preserve">The emissions for</w:t>
      </w:r>
      <w:r>
        <w:t xml:space="preserve"> </w:t>
      </w:r>
      <w:r>
        <w:rPr>
          <w:bCs/>
          <w:b/>
        </w:rPr>
        <w:t xml:space="preserve">jltojemzjt</w:t>
      </w:r>
      <w:r>
        <w:t xml:space="preserve"> </w:t>
      </w:r>
      <w:r>
        <w:t xml:space="preserve">are calculated based on the collected activity data and industry-standard emission factors. The results are categorized according to the GHG Protocol.</w:t>
      </w:r>
    </w:p>
    <w:bookmarkStart w:id="28" w:name="total-product-carbon-footprint-summary"/>
    <w:p>
      <w:pPr>
        <w:pStyle w:val="Heading3"/>
      </w:pPr>
      <w:r>
        <w:t xml:space="preserve">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Contribution (%)</w:t>
            </w:r>
          </w:p>
        </w:tc>
        <w:tc>
          <w:tcPr/>
          <w:p>
            <w:pPr>
              <w:pStyle w:val="Compact"/>
              <w:jc w:val="left"/>
            </w:pPr>
            <w:r>
              <w:t xml:space="preserve">GHG Scope</w:t>
            </w:r>
          </w:p>
        </w:tc>
      </w:tr>
      <w:tr>
        <w:tc>
          <w:tcPr/>
          <w:p>
            <w:pPr>
              <w:pStyle w:val="Compact"/>
              <w:jc w:val="left"/>
            </w:pPr>
            <w:r>
              <w:t xml:space="preserve">Materials Acquisition &amp; Processing</w:t>
            </w:r>
          </w:p>
        </w:tc>
        <w:tc>
          <w:tcPr/>
          <w:p>
            <w:pPr>
              <w:pStyle w:val="Compact"/>
              <w:jc w:val="left"/>
            </w:pPr>
            <w:r>
              <w:t xml:space="preserve">7.95</w:t>
            </w:r>
          </w:p>
        </w:tc>
        <w:tc>
          <w:tcPr/>
          <w:p>
            <w:pPr>
              <w:pStyle w:val="Compact"/>
              <w:jc w:val="left"/>
            </w:pPr>
            <w:r>
              <w:t xml:space="preserve">21.39%</w:t>
            </w:r>
          </w:p>
        </w:tc>
        <w:tc>
          <w:tcPr/>
          <w:p>
            <w:pPr>
              <w:pStyle w:val="Compact"/>
              <w:jc w:val="left"/>
            </w:pPr>
            <w:r>
              <w:t xml:space="preserve">Scope 3 (Category 1)</w:t>
            </w:r>
          </w:p>
        </w:tc>
      </w:tr>
      <w:tr>
        <w:tc>
          <w:tcPr/>
          <w:p>
            <w:pPr>
              <w:pStyle w:val="Compact"/>
              <w:jc w:val="left"/>
            </w:pPr>
            <w:r>
              <w:t xml:space="preserve">Manufacturing Energy</w:t>
            </w:r>
          </w:p>
        </w:tc>
        <w:tc>
          <w:tcPr/>
          <w:p>
            <w:pPr>
              <w:pStyle w:val="Compact"/>
              <w:jc w:val="left"/>
            </w:pPr>
            <w:r>
              <w:t xml:space="preserve">2.90</w:t>
            </w:r>
          </w:p>
        </w:tc>
        <w:tc>
          <w:tcPr/>
          <w:p>
            <w:pPr>
              <w:pStyle w:val="Compact"/>
              <w:jc w:val="left"/>
            </w:pPr>
            <w:r>
              <w:t xml:space="preserve">7.80%</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0.14</w:t>
            </w:r>
          </w:p>
        </w:tc>
        <w:tc>
          <w:tcPr/>
          <w:p>
            <w:pPr>
              <w:pStyle w:val="Compact"/>
              <w:jc w:val="left"/>
            </w:pPr>
            <w:r>
              <w:t xml:space="preserve">0.38%</w:t>
            </w:r>
          </w:p>
        </w:tc>
        <w:tc>
          <w:tcPr/>
          <w:p>
            <w:pPr>
              <w:pStyle w:val="Compact"/>
              <w:jc w:val="left"/>
            </w:pPr>
            <w:r>
              <w:t xml:space="preserve">Scope 3 (Category 4)</w:t>
            </w:r>
          </w:p>
        </w:tc>
      </w:tr>
      <w:tr>
        <w:tc>
          <w:tcPr/>
          <w:p>
            <w:pPr>
              <w:pStyle w:val="Compact"/>
              <w:jc w:val="left"/>
            </w:pPr>
            <w:r>
              <w:t xml:space="preserve">Downstream Transportation &amp; Last-Mile</w:t>
            </w:r>
          </w:p>
        </w:tc>
        <w:tc>
          <w:tcPr/>
          <w:p>
            <w:pPr>
              <w:pStyle w:val="Compact"/>
              <w:jc w:val="left"/>
            </w:pPr>
            <w:r>
              <w:t xml:space="preserve">0.73</w:t>
            </w:r>
          </w:p>
        </w:tc>
        <w:tc>
          <w:tcPr/>
          <w:p>
            <w:pPr>
              <w:pStyle w:val="Compact"/>
              <w:jc w:val="left"/>
            </w:pPr>
            <w:r>
              <w:t xml:space="preserve">1.96%</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67.26%</w:t>
            </w:r>
          </w:p>
        </w:tc>
        <w:tc>
          <w:tcPr/>
          <w:p>
            <w:pPr>
              <w:pStyle w:val="Compact"/>
              <w:jc w:val="left"/>
            </w:pPr>
            <w:r>
              <w:t xml:space="preserve">Scope 3 (Category 11)</w:t>
            </w:r>
          </w:p>
        </w:tc>
      </w:tr>
      <w:tr>
        <w:tc>
          <w:tcPr/>
          <w:p>
            <w:pPr>
              <w:pStyle w:val="Compact"/>
              <w:jc w:val="left"/>
            </w:pPr>
            <w:r>
              <w:t xml:space="preserve">End-of-Life Treatment</w:t>
            </w:r>
          </w:p>
        </w:tc>
        <w:tc>
          <w:tcPr/>
          <w:p>
            <w:pPr>
              <w:pStyle w:val="Compact"/>
              <w:jc w:val="left"/>
            </w:pPr>
            <w:r>
              <w:t xml:space="preserve">0.45</w:t>
            </w:r>
          </w:p>
        </w:tc>
        <w:tc>
          <w:tcPr/>
          <w:p>
            <w:pPr>
              <w:pStyle w:val="Compact"/>
              <w:jc w:val="left"/>
            </w:pPr>
            <w:r>
              <w:t xml:space="preserve">1.21%</w:t>
            </w:r>
          </w:p>
        </w:tc>
        <w:tc>
          <w:tcPr/>
          <w:p>
            <w:pPr>
              <w:pStyle w:val="Compact"/>
              <w:jc w:val="left"/>
            </w:pPr>
            <w:r>
              <w:t xml:space="preserve">Scope 3 (Category 12)</w:t>
            </w:r>
          </w:p>
        </w:tc>
      </w:tr>
      <w:tr>
        <w:tc>
          <w:tcPr/>
          <w:p>
            <w:pPr>
              <w:pStyle w:val="Compact"/>
              <w:jc w:val="right"/>
            </w:pPr>
            <w:r>
              <w:t xml:space="preserve">Total PCF:</w:t>
            </w:r>
          </w:p>
        </w:tc>
        <w:tc>
          <w:tcPr/>
          <w:p>
            <w:pPr>
              <w:pStyle w:val="Compact"/>
              <w:jc w:val="left"/>
            </w:pPr>
            <w:r>
              <w:t xml:space="preserve">37.17</w:t>
            </w:r>
          </w:p>
        </w:tc>
        <w:tc>
          <w:tcPr/>
          <w:p>
            <w:pPr>
              <w:pStyle w:val="Compact"/>
              <w:jc w:val="left"/>
            </w:pPr>
            <w:r>
              <w:t xml:space="preserve">100.00%</w:t>
            </w:r>
          </w:p>
        </w:tc>
        <w:tc>
          <w:tcPr/>
          <w:p>
            <w:pPr>
              <w:pStyle w:val="Compact"/>
            </w:pPr>
          </w:p>
        </w:tc>
      </w:tr>
    </w:tbl>
    <w:bookmarkEnd w:id="28"/>
    <w:bookmarkStart w:id="32" w:name="detailed-emissions-by-ghg-scope"/>
    <w:p>
      <w:pPr>
        <w:pStyle w:val="Heading3"/>
      </w:pPr>
      <w:r>
        <w:t xml:space="preserve">Detailed Emissions by GHG Scope</w:t>
      </w:r>
    </w:p>
    <w:bookmarkStart w:id="29" w:name="scope-1-emissions-direct-emissions"/>
    <w:p>
      <w:pPr>
        <w:pStyle w:val="Heading4"/>
      </w:pPr>
      <w:r>
        <w:t xml:space="preserve">Scope 1 Emissions (Direct Emissions)</w:t>
      </w:r>
    </w:p>
    <w:p>
      <w:pPr>
        <w:pStyle w:val="FirstParagraph"/>
      </w:pPr>
      <w:r>
        <w:t xml:space="preserve">Given the "factory_gate" system boundary focused on product analysis, direct emissions (e.g., from on-site fuel combustion) are not included in this PCF unless explicitly linked to the product\'s manufacturing process and not otherwise covered by purchased energy. For this product, Scope 1 emissions are considered negligible or out of the direct system boundary for the cradle-to-gate portion, and are not quantified for the full lifecycle given the focus.</w:t>
      </w:r>
    </w:p>
    <w:bookmarkEnd w:id="29"/>
    <w:bookmarkStart w:id="30" w:name="scope-2-emissions-purchased-electricity"/>
    <w:p>
      <w:pPr>
        <w:pStyle w:val="Heading4"/>
      </w:pPr>
      <w:r>
        <w:t xml:space="preserve">Scope 2 Emissions (Purchased Electricity)</w:t>
      </w:r>
    </w:p>
    <w:p>
      <w:pPr>
        <w:pStyle w:val="FirstParagraph"/>
      </w:pPr>
      <w:r>
        <w:t xml:space="preserve">These emissions result from the generation of purchased electricity consumed during the manufacturing of</w:t>
      </w:r>
      <w:r>
        <w:t xml:space="preserve"> </w:t>
      </w:r>
      <w:r>
        <w:rPr>
          <w:bCs/>
          <w:b/>
        </w:rPr>
        <w:t xml:space="preserve">jltojemzjt</w:t>
      </w:r>
      <w:r>
        <w:t xml:space="preserve"> </w:t>
      </w:r>
      <w:r>
        <w:t xml:space="preserve">in China.</w:t>
      </w:r>
    </w:p>
    <w:p>
      <w:pPr>
        <w:numPr>
          <w:ilvl w:val="0"/>
          <w:numId w:val="1007"/>
        </w:numPr>
        <w:pStyle w:val="Compact"/>
      </w:pPr>
      <w:r>
        <w:t xml:space="preserve">Energy Consumption: 10 kWh/unit</w:t>
      </w:r>
    </w:p>
    <w:p>
      <w:pPr>
        <w:numPr>
          <w:ilvl w:val="0"/>
          <w:numId w:val="1007"/>
        </w:numPr>
        <w:pStyle w:val="Compact"/>
      </w:pPr>
      <w:r>
        <w:t xml:space="preserve">Non-renewable energy portion: (1 - 50%) = 50%</w:t>
      </w:r>
    </w:p>
    <w:p>
      <w:pPr>
        <w:numPr>
          <w:ilvl w:val="0"/>
          <w:numId w:val="1007"/>
        </w:numPr>
        <w:pStyle w:val="Compact"/>
      </w:pPr>
      <w:r>
        <w:t xml:space="preserve">Chinese Grid Emission Factor: 0.58 kg CO2e/kWh</w:t>
      </w:r>
    </w:p>
    <w:p>
      <w:pPr>
        <w:numPr>
          <w:ilvl w:val="0"/>
          <w:numId w:val="1007"/>
        </w:numPr>
        <w:pStyle w:val="Compact"/>
      </w:pPr>
      <w:r>
        <w:rPr>
          <w:bCs/>
          <w:b/>
        </w:rPr>
        <w:t xml:space="preserve">Total Scope 2 Emissions:</w:t>
      </w:r>
      <w:r>
        <w:t xml:space="preserve"> </w:t>
      </w:r>
      <w:r>
        <w:t xml:space="preserve">10 kWh/unit * 0.50 * 0.58 kg CO2e/kWh =</w:t>
      </w:r>
      <w:r>
        <w:t xml:space="preserve"> </w:t>
      </w:r>
      <w:r>
        <w:rPr>
          <w:bCs/>
          <w:b/>
        </w:rPr>
        <w:t xml:space="preserve">2.90 kg CO2e/unit</w:t>
      </w:r>
      <w:r>
        <w:t xml:space="preserve">.</w:t>
      </w:r>
    </w:p>
    <w:bookmarkEnd w:id="30"/>
    <w:bookmarkStart w:id="31" w:name="scope-3-emissions-value-chain-emissions"/>
    <w:p>
      <w:pPr>
        <w:pStyle w:val="Heading4"/>
      </w:pPr>
      <w:r>
        <w:t xml:space="preserve">Scope 3 Emissions (Value Chain Emissions)</w:t>
      </w:r>
    </w:p>
    <w:p>
      <w:pPr>
        <w:pStyle w:val="FirstParagraph"/>
      </w:pPr>
      <w:r>
        <w:t xml:space="preserve">Scope 3 emissions represent the most significant portion of the product\'s footprint and are disaggregated by relevant categories.</w:t>
      </w:r>
    </w:p>
    <w:p>
      <w:pPr>
        <w:numPr>
          <w:ilvl w:val="0"/>
          <w:numId w:val="1008"/>
        </w:numPr>
        <w:pStyle w:val="Compact"/>
      </w:pPr>
      <w:r>
        <w:rPr>
          <w:bCs/>
          <w:b/>
        </w:rPr>
        <w:t xml:space="preserve">Category 1: Purchased goods and services (Materials Acquisition &amp; Processing)</w:t>
      </w:r>
    </w:p>
    <w:p>
      <w:pPr>
        <w:numPr>
          <w:ilvl w:val="1"/>
          <w:numId w:val="1009"/>
        </w:numPr>
        <w:pStyle w:val="Compact"/>
      </w:pPr>
      <w:r>
        <w:t xml:space="preserve">Total Carbon from Detailed BOM:</w:t>
      </w:r>
      <w:r>
        <w:t xml:space="preserve"> </w:t>
      </w:r>
      <w:r>
        <w:rPr>
          <w:bCs/>
          <w:b/>
        </w:rPr>
        <w:t xml:space="preserve">7.95 kg CO2e/unit</w:t>
      </w:r>
      <w:r>
        <w:t xml:space="preserve">.</w:t>
      </w:r>
    </w:p>
    <w:p>
      <w:pPr>
        <w:numPr>
          <w:ilvl w:val="0"/>
          <w:numId w:val="1008"/>
        </w:numPr>
        <w:pStyle w:val="Compact"/>
      </w:pPr>
      <w:r>
        <w:rPr>
          <w:bCs/>
          <w:b/>
        </w:rPr>
        <w:t xml:space="preserve">Category 4: Upstream Transportation and Distribution</w:t>
      </w:r>
    </w:p>
    <w:p>
      <w:pPr>
        <w:numPr>
          <w:ilvl w:val="1"/>
          <w:numId w:val="1010"/>
        </w:numPr>
        <w:pStyle w:val="Compact"/>
      </w:pPr>
      <w:r>
        <w:t xml:space="preserve">Product Weight (assumed): 1.5 kg (0.0015 tonnes)</w:t>
      </w:r>
    </w:p>
    <w:p>
      <w:pPr>
        <w:numPr>
          <w:ilvl w:val="1"/>
          <w:numId w:val="1010"/>
        </w:numPr>
        <w:pStyle w:val="Compact"/>
      </w:pPr>
      <w:r>
        <w:t xml:space="preserve">Transport Distance (assumed): 1000 km</w:t>
      </w:r>
    </w:p>
    <w:p>
      <w:pPr>
        <w:numPr>
          <w:ilvl w:val="1"/>
          <w:numId w:val="1010"/>
        </w:numPr>
        <w:pStyle w:val="Compact"/>
      </w:pPr>
      <w:r>
        <w:t xml:space="preserve">Road Freight Emission Factor: 0.09 kg CO2e/tonne-km</w:t>
      </w:r>
    </w:p>
    <w:p>
      <w:pPr>
        <w:numPr>
          <w:ilvl w:val="1"/>
          <w:numId w:val="1010"/>
        </w:numPr>
        <w:pStyle w:val="Compact"/>
      </w:pPr>
      <w:r>
        <w:rPr>
          <w:bCs/>
          <w:b/>
        </w:rPr>
        <w:t xml:space="preserve">Total Upstream Transport Emissions:</w:t>
      </w:r>
      <w:r>
        <w:t xml:space="preserve"> </w:t>
      </w:r>
      <w:r>
        <w:t xml:space="preserve">0.0015 tonnes * 1000 km * 0.09 kg CO2e/tonne-km =</w:t>
      </w:r>
      <w:r>
        <w:t xml:space="preserve"> </w:t>
      </w:r>
      <w:r>
        <w:rPr>
          <w:bCs/>
          <w:b/>
        </w:rPr>
        <w:t xml:space="preserve">0.14 kg CO2e/unit</w:t>
      </w:r>
      <w:r>
        <w:t xml:space="preserve">.</w:t>
      </w:r>
    </w:p>
    <w:p>
      <w:pPr>
        <w:numPr>
          <w:ilvl w:val="0"/>
          <w:numId w:val="1008"/>
        </w:numPr>
        <w:pStyle w:val="Compact"/>
      </w:pPr>
      <w:r>
        <w:rPr>
          <w:bCs/>
          <w:b/>
        </w:rPr>
        <w:t xml:space="preserve">Category 9: Downstream Transportation and Distribution (to customer &amp; last-mile)</w:t>
      </w:r>
    </w:p>
    <w:p>
      <w:pPr>
        <w:numPr>
          <w:ilvl w:val="1"/>
          <w:numId w:val="1011"/>
        </w:numPr>
        <w:pStyle w:val="Compact"/>
      </w:pPr>
      <w:r>
        <w:t xml:space="preserve">Product Weight (assumed): 1.5 kg (0.0015 tonnes)</w:t>
      </w:r>
    </w:p>
    <w:p>
      <w:pPr>
        <w:numPr>
          <w:ilvl w:val="1"/>
          <w:numId w:val="1011"/>
        </w:numPr>
        <w:pStyle w:val="Compact"/>
      </w:pPr>
      <w:r>
        <w:t xml:space="preserve">Transport Distance (assumed): 1000 km (Factory to Distribution Center)</w:t>
      </w:r>
    </w:p>
    <w:p>
      <w:pPr>
        <w:numPr>
          <w:ilvl w:val="1"/>
          <w:numId w:val="1011"/>
        </w:numPr>
        <w:pStyle w:val="Compact"/>
      </w:pPr>
      <w:r>
        <w:t xml:space="preserve">Road Freight Emission Factor: 0.09 kg CO2e/tonne-km</w:t>
      </w:r>
    </w:p>
    <w:p>
      <w:pPr>
        <w:numPr>
          <w:ilvl w:val="1"/>
          <w:numId w:val="1011"/>
        </w:numPr>
        <w:pStyle w:val="Compact"/>
      </w:pPr>
      <w:r>
        <w:t xml:space="preserve">Last-Mile Delivery Emission Factor: 0.6 kg CO2e/package</w:t>
      </w:r>
    </w:p>
    <w:p>
      <w:pPr>
        <w:numPr>
          <w:ilvl w:val="1"/>
          <w:numId w:val="1011"/>
        </w:numPr>
        <w:pStyle w:val="Compact"/>
      </w:pPr>
      <w:r>
        <w:rPr>
          <w:bCs/>
          <w:b/>
        </w:rPr>
        <w:t xml:space="preserve">Total Downstream Transport Emissions:</w:t>
      </w:r>
      <w:r>
        <w:t xml:space="preserve"> </w:t>
      </w:r>
      <w:r>
        <w:t xml:space="preserve">(0.0015 tonnes * 1000 km * 0.09 kg CO2e/tonne-km) + 0.6 kg CO2e/package = 0.135 + 0.6 =</w:t>
      </w:r>
      <w:r>
        <w:t xml:space="preserve"> </w:t>
      </w:r>
      <w:r>
        <w:rPr>
          <w:bCs/>
          <w:b/>
        </w:rPr>
        <w:t xml:space="preserve">0.73 kg CO2e/unit</w:t>
      </w:r>
      <w:r>
        <w:t xml:space="preserve">.</w:t>
      </w:r>
    </w:p>
    <w:p>
      <w:pPr>
        <w:numPr>
          <w:ilvl w:val="0"/>
          <w:numId w:val="1008"/>
        </w:numPr>
        <w:pStyle w:val="Compact"/>
      </w:pPr>
      <w:r>
        <w:rPr>
          <w:bCs/>
          <w:b/>
        </w:rPr>
        <w:t xml:space="preserve">Category 11: Use of Sold Products</w:t>
      </w:r>
    </w:p>
    <w:p>
      <w:pPr>
        <w:numPr>
          <w:ilvl w:val="1"/>
          <w:numId w:val="1012"/>
        </w:numPr>
        <w:pStyle w:val="Compact"/>
      </w:pPr>
      <w:r>
        <w:t xml:space="preserve">Product Lifespan: 5 years</w:t>
      </w:r>
    </w:p>
    <w:p>
      <w:pPr>
        <w:numPr>
          <w:ilvl w:val="1"/>
          <w:numId w:val="1012"/>
        </w:numPr>
        <w:pStyle w:val="Compact"/>
      </w:pPr>
      <w:r>
        <w:t xml:space="preserve">Energy Consumption in Use: 20 kWh/year</w:t>
      </w:r>
    </w:p>
    <w:p>
      <w:pPr>
        <w:numPr>
          <w:ilvl w:val="1"/>
          <w:numId w:val="1012"/>
        </w:numPr>
        <w:pStyle w:val="Compact"/>
      </w:pPr>
      <w:r>
        <w:t xml:space="preserve">European Grid Emission Factor: 0.25 kg CO2e/kWh</w:t>
      </w:r>
    </w:p>
    <w:p>
      <w:pPr>
        <w:numPr>
          <w:ilvl w:val="1"/>
          <w:numId w:val="1012"/>
        </w:numPr>
        <w:pStyle w:val="Compact"/>
      </w:pPr>
      <w:r>
        <w:rPr>
          <w:bCs/>
          <w:b/>
        </w:rPr>
        <w:t xml:space="preserve">Total Use Phase Emissions:</w:t>
      </w:r>
      <w:r>
        <w:t xml:space="preserve"> </w:t>
      </w:r>
      <w:r>
        <w:t xml:space="preserve">20 kWh/year * 5 years * 0.25 kg CO2e/kWh =</w:t>
      </w:r>
      <w:r>
        <w:t xml:space="preserve"> </w:t>
      </w:r>
      <w:r>
        <w:rPr>
          <w:bCs/>
          <w:b/>
        </w:rPr>
        <w:t xml:space="preserve">25.00 kg CO2e/unit</w:t>
      </w:r>
      <w:r>
        <w:t xml:space="preserve">.</w:t>
      </w:r>
    </w:p>
    <w:p>
      <w:pPr>
        <w:numPr>
          <w:ilvl w:val="0"/>
          <w:numId w:val="1008"/>
        </w:numPr>
        <w:pStyle w:val="Compact"/>
      </w:pPr>
      <w:r>
        <w:rPr>
          <w:bCs/>
          <w:b/>
        </w:rPr>
        <w:t xml:space="preserve">Category 12: End-of-Life Treatment of Sold Products</w:t>
      </w:r>
    </w:p>
    <w:p>
      <w:pPr>
        <w:numPr>
          <w:ilvl w:val="1"/>
          <w:numId w:val="1013"/>
        </w:numPr>
        <w:pStyle w:val="Compact"/>
      </w:pPr>
      <w:r>
        <w:t xml:space="preserve">Product Weight (assumed): 1.5 kg</w:t>
      </w:r>
    </w:p>
    <w:p>
      <w:pPr>
        <w:numPr>
          <w:ilvl w:val="1"/>
          <w:numId w:val="1013"/>
        </w:numPr>
        <w:pStyle w:val="Compact"/>
      </w:pPr>
      <w:r>
        <w:t xml:space="preserve">Non-recycled portion: (1 - 70% recyclability) = 30%</w:t>
      </w:r>
    </w:p>
    <w:p>
      <w:pPr>
        <w:numPr>
          <w:ilvl w:val="1"/>
          <w:numId w:val="1013"/>
        </w:numPr>
        <w:pStyle w:val="Compact"/>
      </w:pPr>
      <w:r>
        <w:t xml:space="preserve">EoL Emission Factor (for non-recycled): 1.0 kg CO2e/kg (illustrative)</w:t>
      </w:r>
    </w:p>
    <w:p>
      <w:pPr>
        <w:numPr>
          <w:ilvl w:val="1"/>
          <w:numId w:val="1013"/>
        </w:numPr>
        <w:pStyle w:val="Compact"/>
      </w:pPr>
      <w:r>
        <w:rPr>
          <w:bCs/>
          <w:b/>
        </w:rPr>
        <w:t xml:space="preserve">Total End-of-Life Emissions:</w:t>
      </w:r>
      <w:r>
        <w:t xml:space="preserve"> </w:t>
      </w:r>
      <w:r>
        <w:t xml:space="preserve">1.5 kg * 0.30 * 1.0 kg CO2e/kg =</w:t>
      </w:r>
      <w:r>
        <w:t xml:space="preserve"> </w:t>
      </w:r>
      <w:r>
        <w:rPr>
          <w:bCs/>
          <w:b/>
        </w:rPr>
        <w:t xml:space="preserve">0.45 kg CO2e/unit</w:t>
      </w:r>
      <w:r>
        <w:t xml:space="preserve">.</w:t>
      </w:r>
    </w:p>
    <w:bookmarkEnd w:id="31"/>
    <w:bookmarkEnd w:id="32"/>
    <w:bookmarkStart w:id="33"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2.90</w:t>
            </w:r>
          </w:p>
        </w:tc>
        <w:tc>
          <w:tcPr/>
          <w:p>
            <w:pPr>
              <w:pStyle w:val="Compact"/>
              <w:jc w:val="left"/>
            </w:pPr>
            <w:r>
              <w:t xml:space="preserve">7.80%</w:t>
            </w:r>
          </w:p>
        </w:tc>
      </w:tr>
      <w:tr>
        <w:tc>
          <w:tcPr/>
          <w:p>
            <w:pPr>
              <w:pStyle w:val="Compact"/>
              <w:jc w:val="left"/>
            </w:pPr>
            <w:r>
              <w:t xml:space="preserve">Scope 3</w:t>
            </w:r>
          </w:p>
        </w:tc>
        <w:tc>
          <w:tcPr/>
          <w:p>
            <w:pPr>
              <w:pStyle w:val="Compact"/>
              <w:jc w:val="left"/>
            </w:pPr>
            <w:r>
              <w:t xml:space="preserve">34.27</w:t>
            </w:r>
          </w:p>
        </w:tc>
        <w:tc>
          <w:tcPr/>
          <w:p>
            <w:pPr>
              <w:pStyle w:val="Compact"/>
              <w:jc w:val="left"/>
            </w:pPr>
            <w:r>
              <w:t xml:space="preserve">92.20%</w:t>
            </w:r>
          </w:p>
        </w:tc>
      </w:tr>
      <w:tr>
        <w:tc>
          <w:tcPr/>
          <w:p>
            <w:pPr>
              <w:pStyle w:val="Compact"/>
              <w:jc w:val="right"/>
            </w:pPr>
            <w:r>
              <w:t xml:space="preserve">Total Product Carbon Footprint:</w:t>
            </w:r>
          </w:p>
        </w:tc>
        <w:tc>
          <w:tcPr/>
          <w:p>
            <w:pPr>
              <w:pStyle w:val="Compact"/>
              <w:jc w:val="left"/>
            </w:pPr>
            <w:r>
              <w:t xml:space="preserve">37.17</w:t>
            </w:r>
          </w:p>
        </w:tc>
        <w:tc>
          <w:tcPr/>
          <w:p>
            <w:pPr>
              <w:pStyle w:val="Compact"/>
              <w:jc w:val="left"/>
            </w:pPr>
            <w:r>
              <w:t xml:space="preserve">100.00%</w:t>
            </w:r>
          </w:p>
        </w:tc>
      </w:tr>
    </w:tbl>
    <w:p>
      <w:r>
        <w:pict>
          <v:rect style="width:0;height:1.5pt" o:hralign="center" o:hrstd="t" o:hr="t"/>
        </w:pict>
      </w:r>
    </w:p>
    <w:bookmarkEnd w:id="33"/>
    <w:bookmarkEnd w:id="34"/>
    <w:bookmarkStart w:id="36" w:name="review-report---hotspots-and-reliability"/>
    <w:p>
      <w:pPr>
        <w:pStyle w:val="Heading2"/>
      </w:pPr>
      <w:r>
        <w:t xml:space="preserve">5. Review &amp; Report - Hotspots and Reliability</w:t>
      </w:r>
    </w:p>
    <w:p>
      <w:pPr>
        <w:pStyle w:val="FirstParagraph"/>
      </w:pPr>
      <w:r>
        <w:t xml:space="preserve">The analysis of</w:t>
      </w:r>
      <w:r>
        <w:t xml:space="preserve"> </w:t>
      </w:r>
      <w:r>
        <w:rPr>
          <w:bCs/>
          <w:b/>
        </w:rPr>
        <w:t xml:space="preserve">jltojemzjt</w:t>
      </w:r>
      <w:r>
        <w:t xml:space="preserve"> </w:t>
      </w:r>
      <w:r>
        <w:t xml:space="preserve">reveals the following key insights and hotspots:</w:t>
      </w:r>
    </w:p>
    <w:p>
      <w:pPr>
        <w:numPr>
          <w:ilvl w:val="0"/>
          <w:numId w:val="1014"/>
        </w:numPr>
        <w:pStyle w:val="Compact"/>
      </w:pPr>
      <w:r>
        <w:rPr>
          <w:bCs/>
          <w:b/>
        </w:rPr>
        <w:t xml:space="preserve">Primary Hotspot: Use Phase (67.26%)</w:t>
      </w:r>
      <w:r>
        <w:t xml:space="preserve"> </w:t>
      </w:r>
      <w:r>
        <w:t xml:space="preserve">- The energy consumption during the product\'s 5-year lifespan is the dominant contributor to its overall carbon footprint. This highlights the critical importance of energy efficiency in product design and the energy source used by the end-user.</w:t>
      </w:r>
    </w:p>
    <w:p>
      <w:pPr>
        <w:numPr>
          <w:ilvl w:val="0"/>
          <w:numId w:val="1014"/>
        </w:numPr>
        <w:pStyle w:val="Compact"/>
      </w:pPr>
      <w:r>
        <w:rPr>
          <w:bCs/>
          <w:b/>
        </w:rPr>
        <w:t xml:space="preserve">Secondary Hotspot: Materials Acquisition &amp; Processing (21.39%)</w:t>
      </w:r>
      <w:r>
        <w:t xml:space="preserve"> </w:t>
      </w:r>
      <w:r>
        <w:t xml:space="preserve">- The choice of materials, particularly aluminum and plastics, significantly impacts the upstream footprint. Exploring lower-carbon alternative materials or increasing recycled content can substantially reduce this impact.</w:t>
      </w:r>
    </w:p>
    <w:p>
      <w:pPr>
        <w:numPr>
          <w:ilvl w:val="0"/>
          <w:numId w:val="1014"/>
        </w:numPr>
        <w:pStyle w:val="Compact"/>
      </w:pPr>
      <w:r>
        <w:rPr>
          <w:bCs/>
          <w:b/>
        </w:rPr>
        <w:t xml:space="preserve">Reliability and Data Quality:</w:t>
      </w:r>
      <w:r>
        <w:t xml:space="preserve"> </w:t>
      </w:r>
      <w:r>
        <w:t xml:space="preserve">This analysis utilizes a detailed Bill of Materials (BOM) with specified carbon impacts for materials, which enhances the accuracy of the upstream emissions. For other lifecycle stages, industry-standard emission factors from reputable sources (e.g., IEA, MEE, GLEC) have been applied. Where specific data was unavailable for placeholder parameters, illustrative, yet plausible, numerical values were assumed to demonstrate the methodology. For a more precise PCF, primary data for all transport distances, specific energy mixes for factories, and detailed regional EoL scenarios would be beneficial.</w:t>
      </w:r>
    </w:p>
    <w:bookmarkStart w:id="35" w:name="recommendations-for-carbon-reduction"/>
    <w:p>
      <w:pPr>
        <w:pStyle w:val="Heading3"/>
      </w:pPr>
      <w:r>
        <w:t xml:space="preserve">Recommendations for Carbon Reduction</w:t>
      </w:r>
    </w:p>
    <w:p>
      <w:pPr>
        <w:numPr>
          <w:ilvl w:val="0"/>
          <w:numId w:val="1015"/>
        </w:numPr>
        <w:pStyle w:val="Compact"/>
      </w:pPr>
      <w:r>
        <w:rPr>
          <w:bCs/>
          <w:b/>
        </w:rPr>
        <w:t xml:space="preserve">Optimize Use Phase Efficiency:</w:t>
      </w:r>
      <w:r>
        <w:t xml:space="preserve"> </w:t>
      </w:r>
      <w:r>
        <w:t xml:space="preserve">Focus on reducing the energy consumption of</w:t>
      </w:r>
      <w:r>
        <w:t xml:space="preserve"> </w:t>
      </w:r>
      <w:r>
        <w:rPr>
          <w:bCs/>
          <w:b/>
        </w:rPr>
        <w:t xml:space="preserve">jltojemzjt</w:t>
      </w:r>
      <w:r>
        <w:t xml:space="preserve"> </w:t>
      </w:r>
      <w:r>
        <w:t xml:space="preserve">during its operational life. This could involve more efficient components, power-saving modes, or educational initiatives for users to adopt energy-efficient behaviors.</w:t>
      </w:r>
    </w:p>
    <w:p>
      <w:pPr>
        <w:numPr>
          <w:ilvl w:val="0"/>
          <w:numId w:val="1015"/>
        </w:numPr>
        <w:pStyle w:val="Compact"/>
      </w:pPr>
      <w:r>
        <w:rPr>
          <w:bCs/>
          <w:b/>
        </w:rPr>
        <w:t xml:space="preserve">Sustainable Material Sourcing:</w:t>
      </w:r>
      <w:r>
        <w:t xml:space="preserve"> </w:t>
      </w:r>
      <w:r>
        <w:t xml:space="preserve">Investigate and integrate materials with lower embodied carbon, increased recycled content, or bio-based alternatives for components like the aluminum casing and plastic enclosure.</w:t>
      </w:r>
    </w:p>
    <w:p>
      <w:pPr>
        <w:numPr>
          <w:ilvl w:val="0"/>
          <w:numId w:val="1015"/>
        </w:numPr>
        <w:pStyle w:val="Compact"/>
      </w:pPr>
      <w:r>
        <w:rPr>
          <w:bCs/>
          <w:b/>
        </w:rPr>
        <w:t xml:space="preserve">Enhance Circularity:</w:t>
      </w:r>
      <w:r>
        <w:t xml:space="preserve"> </w:t>
      </w:r>
      <w:r>
        <w:t xml:space="preserve">Leverage and expand existing circular/take-back programs (zykeyifseg) to maximize material recovery and re-use. Improving the actual recycling rates beyond the current 70% and exploring closed-loop systems will further reduce End-of-Life impacts.</w:t>
      </w:r>
    </w:p>
    <w:p>
      <w:pPr>
        <w:numPr>
          <w:ilvl w:val="0"/>
          <w:numId w:val="1015"/>
        </w:numPr>
        <w:pStyle w:val="Compact"/>
      </w:pPr>
      <w:r>
        <w:rPr>
          <w:bCs/>
          <w:b/>
        </w:rPr>
        <w:t xml:space="preserve">Supply Chain Engagement:</w:t>
      </w:r>
      <w:r>
        <w:t xml:space="preserve"> </w:t>
      </w:r>
      <w:r>
        <w:t xml:space="preserve">Collaborate with suppliers to understand and reduce emissions associated with purchased goods and services (Scope 3, Category 1) and transportation (Scope 3, Category 4).</w:t>
      </w:r>
    </w:p>
    <w:p>
      <w:pPr>
        <w:numPr>
          <w:ilvl w:val="0"/>
          <w:numId w:val="1015"/>
        </w:numPr>
        <w:pStyle w:val="Compact"/>
      </w:pPr>
      <w:r>
        <w:rPr>
          <w:bCs/>
          <w:b/>
        </w:rPr>
        <w:t xml:space="preserve">Renewable Energy Integration:</w:t>
      </w:r>
      <w:r>
        <w:t xml:space="preserve"> </w:t>
      </w:r>
      <w:r>
        <w:t xml:space="preserve">Increase the percentage of renewable energy used in manufacturing facilities in China beyond the current oodpiethip (50%) to further reduce Scope 2 emissions.</w:t>
      </w:r>
    </w:p>
    <w:p>
      <w:pPr>
        <w:pStyle w:val="FirstParagraph"/>
      </w:pPr>
      <w:r>
        <w:t xml:space="preserve">This report provides a robust foundation for</w:t>
      </w:r>
      <w:r>
        <w:t xml:space="preserve"> </w:t>
      </w:r>
      <w:r>
        <w:rPr>
          <w:bCs/>
          <w:b/>
        </w:rPr>
        <w:t xml:space="preserve">nqnzeifskw</w:t>
      </w:r>
      <w:r>
        <w:t xml:space="preserve"> </w:t>
      </w:r>
      <w:r>
        <w:t xml:space="preserve">to understand the environmental impacts of</w:t>
      </w:r>
      <w:r>
        <w:t xml:space="preserve"> </w:t>
      </w:r>
      <w:r>
        <w:rPr>
          <w:bCs/>
          <w:b/>
        </w:rPr>
        <w:t xml:space="preserve">jltojemzjt</w:t>
      </w:r>
      <w:r>
        <w:t xml:space="preserve"> </w:t>
      </w:r>
      <w:r>
        <w:t xml:space="preserve">and to develop targeted strategies for emission reduction, aligning with global sustainability goals and the evolving requirements of the GHG Protocol.</w:t>
      </w:r>
    </w:p>
    <w:p>
      <w:r>
        <w:pict>
          <v:rect style="width:0;height:1.5pt" o:hralign="center" o:hrstd="t" o:hr="t"/>
        </w:pict>
      </w:r>
    </w:p>
    <w:p>
      <w:pPr>
        <w:pStyle w:val="FirstParagraph"/>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jltojemzjt</dc:title>
  <dc:creator/>
  <dc:description>High-detail Product Carbon Footprint (PCF) analysis report for jltojemzjt, performed by Senior Sustainability Consultant nnwwkixtyl for nqnzeifskw, adhering to GHG Protocol standards including 2026 updates.</dc:description>
  <dc:language>en</dc:language>
  <cp:keywords/>
  <dcterms:created xsi:type="dcterms:W3CDTF">2026-05-30T10:36:38Z</dcterms:created>
  <dcterms:modified xsi:type="dcterms:W3CDTF">2026-05-30T10:36:38Z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