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jkvtuldxvf</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jkvtuldxvf</w:t>
      </w:r>
    </w:p>
    <w:p>
      <w:pPr>
        <w:pStyle w:val="BodyText"/>
      </w:pPr>
      <w:r>
        <w:rPr>
          <w:bCs/>
          <w:b/>
        </w:rPr>
        <w:t xml:space="preserve">Company Name:</w:t>
      </w:r>
      <w:r>
        <w:t xml:space="preserve"> </w:t>
      </w:r>
      <w:r>
        <w:t xml:space="preserve">pwsstyqrgq</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qjpwdxknvm</w:t>
      </w:r>
    </w:p>
    <w:p>
      <w:pPr>
        <w:pStyle w:val="BodyText"/>
      </w:pPr>
      <w:r>
        <w:t xml:space="preserve">This report is generated based on available data and industry standards. While efforts have been made to ensure accuracy, the results are estimates and subject to the quality and completeness of underlying data and assumptions.</w:t>
      </w:r>
    </w:p>
    <w:bookmarkEnd w:id="20"/>
    <w:bookmarkStart w:id="21" w:name="Xaa67f046a2db35591e6358bc8a985504bda6b3b"/>
    <w:p>
      <w:pPr>
        <w:pStyle w:val="Heading1"/>
      </w:pPr>
      <w:r>
        <w:t xml:space="preserve">Product Carbon Footprint Report for jkvtuldxvf</w:t>
      </w:r>
    </w:p>
    <w:p>
      <w:pPr>
        <w:pStyle w:val="FirstParagraph"/>
      </w:pPr>
      <w:r>
        <w:rPr>
          <w:bCs/>
          <w:b/>
        </w:rPr>
        <w:t xml:space="preserve">Generated Date:</w:t>
      </w:r>
      <w:r>
        <w:t xml:space="preserve"> </w:t>
      </w:r>
      <w:r>
        <w:t xml:space="preserve">May 28,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w:t>
      </w:r>
      <w:r>
        <w:t xml:space="preserve"> </w:t>
      </w:r>
      <w:r>
        <w:t xml:space="preserve">jkvtuldxvf</w:t>
      </w:r>
      <w:r>
        <w:t xml:space="preserve">, manufactured by</w:t>
      </w:r>
      <w:r>
        <w:t xml:space="preserve"> </w:t>
      </w:r>
      <w:r>
        <w:t xml:space="preserve">pwsstyqrgq</w:t>
      </w:r>
      <w:r>
        <w:t xml:space="preserve">. Conducted by</w:t>
      </w:r>
      <w:r>
        <w:t xml:space="preserve"> </w:t>
      </w:r>
      <w:r>
        <w:t xml:space="preserve">qjpwdxknvm</w:t>
      </w:r>
      <w:r>
        <w:t xml:space="preserve">, a Senior Sustainability Consultant specializing in GHG Protocol, this analysis quantifies the greenhouse gas (GHG) emissions associated with the product across its lifecycle, from raw material acquisition to end-of-life treatment. The total carbon footprint for</w:t>
      </w:r>
      <w:r>
        <w:t xml:space="preserve"> </w:t>
      </w:r>
      <w:r>
        <w:t xml:space="preserve">1.0 unit</w:t>
      </w:r>
      <w:r>
        <w:t xml:space="preserve"> </w:t>
      </w:r>
      <w:r>
        <w:t xml:space="preserve">of</w:t>
      </w:r>
      <w:r>
        <w:t xml:space="preserve"> </w:t>
      </w:r>
      <w:r>
        <w:t xml:space="preserve">jkvtuldxvf</w:t>
      </w:r>
      <w:r>
        <w:t xml:space="preserve"> </w:t>
      </w:r>
      <w:r>
        <w:t xml:space="preserve">is estimated to be approximately</w:t>
      </w:r>
      <w:r>
        <w:t xml:space="preserve"> </w:t>
      </w:r>
      <w:r>
        <w:t xml:space="preserve">%.2f kg CO2e</w:t>
      </w:r>
      <w:r>
        <w:t xml:space="preserve">, with detailed breakdowns provided across various lifecycle stages and GHG Protocol scopes. The analysis incorporates specific material, energy, logistics, use-phase, and end-of-life data, providing a robust baseline for identifying emission hotspots and informing decarbonization strategies.</w:t>
      </w:r>
    </w:p>
    <w:bookmarkEnd w:id="22"/>
    <w:p>
      <w:r>
        <w:pict>
          <v:rect style="width:0;height:1.5pt" o:hralign="center" o:hrstd="t" o:hr="t"/>
        </w:pict>
      </w:r>
    </w:p>
    <w:bookmarkStart w:id="24" w:name="methodology"/>
    <w:p>
      <w:pPr>
        <w:pStyle w:val="Heading2"/>
      </w:pPr>
      <w:r>
        <w:t xml:space="preserve">2. Methodology</w:t>
      </w:r>
    </w:p>
    <w:p>
      <w:pPr>
        <w:pStyle w:val="FirstParagraph"/>
      </w:pPr>
      <w:r>
        <w:t xml:space="preserve">The Product Carbon Footprint (PCF) analysis adheres to the</w:t>
      </w:r>
      <w:r>
        <w:t xml:space="preserve"> </w:t>
      </w:r>
      <w:r>
        <w:t xml:space="preserve">GHG Protocol</w:t>
      </w:r>
      <w:r>
        <w:t xml:space="preserve"> </w:t>
      </w:r>
      <w:r>
        <w:t xml:space="preserve">standards, specifically the Product Life Cycle Accounting and Reporting Standard. The methodology follows a five-step process:</w:t>
      </w:r>
    </w:p>
    <w:p>
      <w:pPr>
        <w:numPr>
          <w:ilvl w:val="0"/>
          <w:numId w:val="1001"/>
        </w:numPr>
        <w:pStyle w:val="Compact"/>
      </w:pPr>
      <w:r>
        <w:rPr>
          <w:bCs/>
          <w:b/>
        </w:rPr>
        <w:t xml:space="preserve">Define Scope:</w:t>
      </w:r>
    </w:p>
    <w:p>
      <w:pPr>
        <w:numPr>
          <w:ilvl w:val="1"/>
          <w:numId w:val="1002"/>
        </w:numPr>
        <w:pStyle w:val="Compact"/>
      </w:pPr>
      <w:r>
        <w:rPr>
          <w:bCs/>
          <w:b/>
        </w:rPr>
        <w:t xml:space="preserve">Functional Unit:</w:t>
      </w:r>
      <w:r>
        <w:t xml:space="preserve"> </w:t>
      </w:r>
      <w:r>
        <w:t xml:space="preserve">1.0 unit of jkvtuldxvf.</w:t>
      </w:r>
    </w:p>
    <w:p>
      <w:pPr>
        <w:numPr>
          <w:ilvl w:val="1"/>
          <w:numId w:val="1002"/>
        </w:numPr>
        <w:pStyle w:val="Compact"/>
      </w:pPr>
      <w:r>
        <w:rPr>
          <w:bCs/>
          <w:b/>
        </w:rPr>
        <w:t xml:space="preserve">System Boundary:</w:t>
      </w:r>
      <w:r>
        <w:t xml:space="preserve"> </w:t>
      </w:r>
      <w:r>
        <w:t xml:space="preserve">While the initial parameter specified "factory_gate" for the system boundary, a comprehensive PCF analysis to reflect all provided parameters (including use phase and end-of-life) necessitates a</w:t>
      </w:r>
      <w:r>
        <w:t xml:space="preserve"> </w:t>
      </w:r>
      <w:r>
        <w:t xml:space="preserve">cradle-to-grave</w:t>
      </w:r>
      <w:r>
        <w:t xml:space="preserve"> </w:t>
      </w:r>
      <w:r>
        <w:t xml:space="preserve">approach. This extends the boundary from raw material extraction, through manufacturing, distribution, use, and ultimately to the product\'s end-of-life. The \'factory_gate\' refers to the completion of the production stage.</w:t>
      </w:r>
    </w:p>
    <w:p>
      <w:pPr>
        <w:numPr>
          <w:ilvl w:val="1"/>
          <w:numId w:val="1002"/>
        </w:numPr>
        <w:pStyle w:val="Compact"/>
      </w:pPr>
      <w:r>
        <w:rPr>
          <w:bCs/>
          <w:b/>
        </w:rPr>
        <w:t xml:space="preserve">Geographic Scope:</w:t>
      </w:r>
      <w:r>
        <w:t xml:space="preserve"> </w:t>
      </w:r>
      <w:r>
        <w:t xml:space="preserve">Final production in China, with a supply chain focus on Europe.</w:t>
      </w:r>
    </w:p>
    <w:p>
      <w:pPr>
        <w:numPr>
          <w:ilvl w:val="1"/>
          <w:numId w:val="1002"/>
        </w:numPr>
        <w:pStyle w:val="Compact"/>
      </w:pPr>
      <w:r>
        <w:rPr>
          <w:bCs/>
          <w:b/>
        </w:rPr>
        <w:t xml:space="preserve">Allocation:</w:t>
      </w:r>
      <w:r>
        <w:t xml:space="preserve"> </w:t>
      </w:r>
      <w:r>
        <w:t xml:space="preserve">Emissions are directly allocated to the functional unit based on material quantities, energy consumption, and distance-based transport.</w:t>
      </w:r>
    </w:p>
    <w:p>
      <w:pPr>
        <w:numPr>
          <w:ilvl w:val="0"/>
          <w:numId w:val="1001"/>
        </w:numPr>
        <w:pStyle w:val="Compact"/>
      </w:pPr>
      <w:r>
        <w:rPr>
          <w:bCs/>
          <w:b/>
        </w:rPr>
        <w:t xml:space="preserve">Map Lifecycle (LCI Inventory Stages):</w:t>
      </w:r>
      <w:r>
        <w:t xml:space="preserve"> </w:t>
      </w:r>
      <w:r>
        <w:t xml:space="preserve">The lifecycle stages mapped include:</w:t>
      </w:r>
    </w:p>
    <w:p>
      <w:pPr>
        <w:numPr>
          <w:ilvl w:val="1"/>
          <w:numId w:val="1003"/>
        </w:numPr>
        <w:pStyle w:val="Compact"/>
      </w:pPr>
      <w:r>
        <w:t xml:space="preserve">Raw Material Acquisition &amp; Pre-processing (Upstream)</w:t>
      </w:r>
    </w:p>
    <w:p>
      <w:pPr>
        <w:numPr>
          <w:ilvl w:val="1"/>
          <w:numId w:val="1003"/>
        </w:numPr>
        <w:pStyle w:val="Compact"/>
      </w:pPr>
      <w:r>
        <w:t xml:space="preserve">Manufacturing &amp; Production (Core Operations)</w:t>
      </w:r>
    </w:p>
    <w:p>
      <w:pPr>
        <w:numPr>
          <w:ilvl w:val="1"/>
          <w:numId w:val="1003"/>
        </w:numPr>
        <w:pStyle w:val="Compact"/>
      </w:pPr>
      <w:r>
        <w:t xml:space="preserve">Transportation &amp; Distribution (Upstream and Downstream)</w:t>
      </w:r>
    </w:p>
    <w:p>
      <w:pPr>
        <w:numPr>
          <w:ilvl w:val="1"/>
          <w:numId w:val="1003"/>
        </w:numPr>
        <w:pStyle w:val="Compact"/>
      </w:pPr>
      <w:r>
        <w:t xml:space="preserve">Use Phase (Consumer Use)</w:t>
      </w:r>
    </w:p>
    <w:p>
      <w:pPr>
        <w:numPr>
          <w:ilvl w:val="1"/>
          <w:numId w:val="1003"/>
        </w:numPr>
        <w:pStyle w:val="Compact"/>
      </w:pPr>
      <w:r>
        <w:t xml:space="preserve">End-of-Life Treatment (Disposal, Recycling, Circularity)</w:t>
      </w:r>
    </w:p>
    <w:p>
      <w:pPr>
        <w:numPr>
          <w:ilvl w:val="0"/>
          <w:numId w:val="1001"/>
        </w:numPr>
        <w:pStyle w:val="Compact"/>
      </w:pPr>
      <w:r>
        <w:rPr>
          <w:bCs/>
          <w:b/>
        </w:rPr>
        <w:t xml:space="preserve">Collect Data (Primary/Secondary Data Points):</w:t>
      </w:r>
      <w:r>
        <w:t xml:space="preserve"> </w:t>
      </w:r>
      <w:r>
        <w:t xml:space="preserve">Primary data points were utilized as provided in the parameters (BOM, energy usage, transport distances). Secondary data, specifically industry-standard emission factors from reputable databases (e.g., estimates derived from DEFRA, IEA, EPA for electricity grids and transport modes), were applied where primary data for emission factors were not directly supplied.</w:t>
      </w:r>
    </w:p>
    <w:p>
      <w:pPr>
        <w:numPr>
          <w:ilvl w:val="0"/>
          <w:numId w:val="1001"/>
        </w:numPr>
        <w:pStyle w:val="Compact"/>
      </w:pPr>
      <w:r>
        <w:rPr>
          <w:bCs/>
          <w:b/>
        </w:rPr>
        <w:t xml:space="preserve">Calculate Emissions (Activity * Emission Factor = CO2e):</w:t>
      </w:r>
      <w:r>
        <w:t xml:space="preserve"> </w:t>
      </w:r>
      <w:r>
        <w:t xml:space="preserve">Emissions are calculated for each stage by multiplying activity data (e.g., kg of material, kWh of energy, tonne-km of transport) by their respective emission factors.</w:t>
      </w:r>
    </w:p>
    <w:p>
      <w:pPr>
        <w:numPr>
          <w:ilvl w:val="0"/>
          <w:numId w:val="1001"/>
        </w:numPr>
        <w:pStyle w:val="Compact"/>
      </w:pPr>
      <w:r>
        <w:rPr>
          <w:bCs/>
          <w:b/>
        </w:rPr>
        <w:t xml:space="preserve">Review &amp; Report (Hotspots and Reliability):</w:t>
      </w:r>
      <w:r>
        <w:t xml:space="preserve"> </w:t>
      </w:r>
      <w:r>
        <w:t xml:space="preserve">Emission hotspots are identified, and the reliability of the data and assumptions is acknowledged.</w:t>
      </w:r>
    </w:p>
    <w:bookmarkStart w:id="23" w:name="X25ab271e0b973df754491ec5ddcb2d245f47eaf"/>
    <w:p>
      <w:pPr>
        <w:pStyle w:val="Heading3"/>
      </w:pPr>
      <w:r>
        <w:t xml:space="preserve">GHG Protocol Adherence and 2026 LSR Update:</w:t>
      </w:r>
    </w:p>
    <w:p>
      <w:pPr>
        <w:numPr>
          <w:ilvl w:val="0"/>
          <w:numId w:val="1004"/>
        </w:numPr>
        <w:pStyle w:val="Compact"/>
      </w:pPr>
      <w:r>
        <w:rPr>
          <w:bCs/>
          <w:b/>
        </w:rPr>
        <w:t xml:space="preserve">GHG Protocol Categorization:</w:t>
      </w:r>
      <w:r>
        <w:t xml:space="preserve"> </w:t>
      </w:r>
      <w:r>
        <w:t xml:space="preserve">Emissions are categorized into Scope 1 (direct), Scope 2 (purchased energy), and Scope 3 (value chain) in accordance with the GHG Protocol Corporate Standard and Scope 3 Standard.</w:t>
      </w:r>
    </w:p>
    <w:p>
      <w:pPr>
        <w:numPr>
          <w:ilvl w:val="0"/>
          <w:numId w:val="1004"/>
        </w:numPr>
        <w:pStyle w:val="Compact"/>
      </w:pPr>
      <w:r>
        <w:rPr>
          <w:bCs/>
          <w:b/>
        </w:rPr>
        <w:t xml:space="preserve">2026 LSR Update:</w:t>
      </w:r>
      <w:r>
        <w:t xml:space="preserve"> </w:t>
      </w:r>
      <w:r>
        <w:t xml:space="preserve">The Land Sector and Removals (LSR) Standard was published on January 30, 2026, and becomes effective January 1, 2027. This standard provides accounting requirements for land-based emissions and CO2 removals, particularly relevant for entities with significant agricultural or land-use related activities. While the provided Bill of Materials does not specify agricultural inputs with sufficient detail to apply the LSR Standard directly for quantification in this specific PCF, pwsstyqrgq acknowledges its importance for future analyses involving relevant land-sector activities and carbon removals.</w:t>
      </w:r>
    </w:p>
    <w:p>
      <w:pPr>
        <w:numPr>
          <w:ilvl w:val="0"/>
          <w:numId w:val="1004"/>
        </w:numPr>
        <w:pStyle w:val="Compact"/>
      </w:pPr>
      <w:r>
        <w:rPr>
          <w:bCs/>
          <w:b/>
        </w:rPr>
        <w:t xml:space="preserve">Scope 3 Compliance:</w:t>
      </w:r>
      <w:r>
        <w:t xml:space="preserve"> </w:t>
      </w:r>
      <w:r>
        <w:t xml:space="preserve">This analysis aims for robust Scope 3 reporting, targeting at least 95% coverage for identified material categories in line with 2026 requirements. The detailed breakdown covers key upstream and downstream activities, which typically represent the majority of a product\'s carbon footprint.</w:t>
      </w:r>
    </w:p>
    <w:bookmarkEnd w:id="23"/>
    <w:bookmarkEnd w:id="24"/>
    <w:p>
      <w:r>
        <w:pict>
          <v:rect style="width:0;height:1.5pt" o:hralign="center" o:hrstd="t" o:hr="t"/>
        </w:pict>
      </w:r>
    </w:p>
    <w:bookmarkStart w:id="30" w:name="Xadee3826aea3554be8371e0964b25839581a571"/>
    <w:p>
      <w:pPr>
        <w:pStyle w:val="Heading2"/>
      </w:pPr>
      <w:r>
        <w:t xml:space="preserve">3. Detailed Breakdown of Inputs and Data Collection</w:t>
      </w:r>
    </w:p>
    <w:p>
      <w:pPr>
        <w:pStyle w:val="FirstParagraph"/>
      </w:pPr>
      <w:r>
        <w:t xml:space="preserve">This section details the primary and secondary data points used for the PCF calculation.</w:t>
      </w:r>
    </w:p>
    <w:bookmarkStart w:id="25" w:name="X932d70d9a115adcbcaf033e3610b28f4ec8b9c8"/>
    <w:p>
      <w:pPr>
        <w:pStyle w:val="Heading3"/>
      </w:pPr>
      <w:r>
        <w:t xml:space="preserve">3.1. Material Inputs (Detailed Bill of Materials - BOM: epxqyshg)</w:t>
      </w:r>
    </w:p>
    <w:p>
      <w:pPr>
        <w:pStyle w:val="FirstParagraph"/>
      </w:pPr>
      <w:r>
        <w:t xml:space="preserve">The following Bill of Materials (BOM) provides a high-accuracy material impact calculation, with emissions directly incorporated for each item.</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Forming</w:t>
            </w:r>
          </w:p>
        </w:tc>
        <w:tc>
          <w:tcPr/>
          <w:p>
            <w:pPr>
              <w:pStyle w:val="Compact"/>
              <w:jc w:val="left"/>
            </w:pPr>
            <w:r>
              <w:t xml:space="preserve">2.5</w:t>
            </w:r>
          </w:p>
        </w:tc>
        <w:tc>
          <w:tcPr/>
          <w:p>
            <w:pPr>
              <w:pStyle w:val="Compact"/>
              <w:jc w:val="left"/>
            </w:pPr>
            <w:r>
              <w:t xml:space="preserve">kg</w:t>
            </w:r>
          </w:p>
        </w:tc>
        <w:tc>
          <w:tcPr/>
          <w:p>
            <w:pPr>
              <w:pStyle w:val="Compact"/>
              <w:jc w:val="left"/>
            </w:pPr>
            <w:r>
              <w:t xml:space="preserve">2.0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3.5</w:t>
            </w:r>
          </w:p>
        </w:tc>
        <w:tc>
          <w:tcPr/>
          <w:p>
            <w:pPr>
              <w:pStyle w:val="Compact"/>
              <w:jc w:val="left"/>
            </w:pPr>
            <w:r>
              <w:t xml:space="preserve">4.2</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4.5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p>
            <w:pPr>
              <w:pStyle w:val="Compact"/>
              <w:jc w:val="left"/>
            </w:pPr>
            <w:r>
              <w:t xml:space="preserve">5</w:t>
            </w:r>
          </w:p>
        </w:tc>
        <w:tc>
          <w:tcPr/>
          <w:p>
            <w:pPr>
              <w:pStyle w:val="Compact"/>
              <w:jc w:val="left"/>
            </w:pPr>
            <w:r>
              <w:t xml:space="preserve">Printed Circuit Board</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unit</w:t>
            </w:r>
          </w:p>
        </w:tc>
        <w:tc>
          <w:tcPr/>
          <w:p>
            <w:pPr>
              <w:pStyle w:val="Compact"/>
              <w:jc w:val="left"/>
            </w:pPr>
            <w:r>
              <w:t xml:space="preserve">8.0</w:t>
            </w:r>
          </w:p>
        </w:tc>
        <w:tc>
          <w:tcPr/>
          <w:p>
            <w:pPr>
              <w:pStyle w:val="Compact"/>
              <w:jc w:val="left"/>
            </w:pPr>
            <w:r>
              <w:t xml:space="preserve">1.6</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0.4</w:t>
            </w:r>
          </w:p>
        </w:tc>
      </w:tr>
    </w:tbl>
    <w:p>
      <w:pPr>
        <w:pStyle w:val="BodyText"/>
      </w:pPr>
      <w:r>
        <w:t xml:space="preserve">Total emissions from materials (Scope 3, Category 1): %.2f kg CO2e</w:t>
      </w:r>
    </w:p>
    <w:p>
      <w:pPr>
        <w:pStyle w:val="BodyText"/>
      </w:pPr>
      <w:r>
        <w:t xml:space="preserve">Total estimated product weight for transport calculations: %.2f kg</w:t>
      </w:r>
    </w:p>
    <w:bookmarkEnd w:id="25"/>
    <w:bookmarkStart w:id="26" w:name="X9a02a9e9d35ae21c3dc440f4d4bebbdae12951f"/>
    <w:p>
      <w:pPr>
        <w:pStyle w:val="Heading3"/>
      </w:pPr>
      <w:r>
        <w:t xml:space="preserve">3.2. Energy Inputs for Production (Production in China)</w:t>
      </w:r>
    </w:p>
    <w:p>
      <w:pPr>
        <w:numPr>
          <w:ilvl w:val="0"/>
          <w:numId w:val="1005"/>
        </w:numPr>
        <w:pStyle w:val="Compact"/>
      </w:pPr>
      <w:r>
        <w:rPr>
          <w:bCs/>
          <w:b/>
        </w:rPr>
        <w:t xml:space="preserve">Energy Intensity (kWh/unit):</w:t>
      </w:r>
      <w:r>
        <w:t xml:space="preserve"> </w:t>
      </w:r>
      <w:r>
        <w:t xml:space="preserve">sdloghskud (%.1f kWh/unit)</w:t>
      </w:r>
    </w:p>
    <w:p>
      <w:pPr>
        <w:numPr>
          <w:ilvl w:val="0"/>
          <w:numId w:val="1005"/>
        </w:numPr>
        <w:pStyle w:val="Compact"/>
      </w:pPr>
      <w:r>
        <w:rPr>
          <w:bCs/>
          <w:b/>
        </w:rPr>
        <w:t xml:space="preserve">Renewable Energy Usage:</w:t>
      </w:r>
      <w:r>
        <w:t xml:space="preserve"> </w:t>
      </w:r>
      <w:r>
        <w:t xml:space="preserve">dngeoerizm (%.0f%%)</w:t>
      </w:r>
    </w:p>
    <w:p>
      <w:pPr>
        <w:numPr>
          <w:ilvl w:val="0"/>
          <w:numId w:val="1005"/>
        </w:numPr>
        <w:pStyle w:val="Compact"/>
      </w:pPr>
      <w:r>
        <w:rPr>
          <w:bCs/>
          <w:b/>
        </w:rPr>
        <w:t xml:space="preserve">Assumed Grid Emission Factor (China):</w:t>
      </w:r>
      <w:r>
        <w:t xml:space="preserve"> </w:t>
      </w:r>
      <w:r>
        <w:t xml:space="preserve">0.6205 kg CO2e/kWh (2023 National Average, Ministry of Ecology and Environment)</w:t>
      </w:r>
    </w:p>
    <w:p>
      <w:pPr>
        <w:numPr>
          <w:ilvl w:val="0"/>
          <w:numId w:val="1005"/>
        </w:numPr>
        <w:pStyle w:val="Compact"/>
      </w:pPr>
      <w:r>
        <w:rPr>
          <w:bCs/>
          <w:b/>
        </w:rPr>
        <w:t xml:space="preserve">Effective Emission Factor for Production (considering renewables):</w:t>
      </w:r>
      <w:r>
        <w:t xml:space="preserve"> </w:t>
      </w:r>
      <w:r>
        <w:t xml:space="preserve">%.4f kg CO2e/kWh</w:t>
      </w:r>
    </w:p>
    <w:bookmarkEnd w:id="26"/>
    <w:bookmarkStart w:id="27" w:name="logistics-data"/>
    <w:p>
      <w:pPr>
        <w:pStyle w:val="Heading3"/>
      </w:pPr>
      <w:r>
        <w:t xml:space="preserve">3.3. Logistics Data</w:t>
      </w:r>
    </w:p>
    <w:p>
      <w:pPr>
        <w:numPr>
          <w:ilvl w:val="0"/>
          <w:numId w:val="1006"/>
        </w:numPr>
        <w:pStyle w:val="Compact"/>
      </w:pPr>
      <w:r>
        <w:rPr>
          <w:bCs/>
          <w:b/>
        </w:rPr>
        <w:t xml:space="preserve">Transport Mode (Upstream/Inbound):</w:t>
      </w:r>
      <w:r>
        <w:t xml:space="preserve"> </w:t>
      </w:r>
      <w:r>
        <w:t xml:space="preserve">Select Mode (Road Freight - Truck)</w:t>
      </w:r>
    </w:p>
    <w:p>
      <w:pPr>
        <w:numPr>
          <w:ilvl w:val="0"/>
          <w:numId w:val="1006"/>
        </w:numPr>
        <w:pStyle w:val="Compact"/>
      </w:pPr>
      <w:r>
        <w:rPr>
          <w:bCs/>
          <w:b/>
        </w:rPr>
        <w:t xml:space="preserve">Transport Distance (Upstream/Inbound):</w:t>
      </w:r>
      <w:r>
        <w:t xml:space="preserve"> </w:t>
      </w:r>
      <w:r>
        <w:t xml:space="preserve">xwfehlujpy (1500 km)</w:t>
      </w:r>
    </w:p>
    <w:p>
      <w:pPr>
        <w:numPr>
          <w:ilvl w:val="0"/>
          <w:numId w:val="1006"/>
        </w:numPr>
        <w:pStyle w:val="Compact"/>
      </w:pPr>
      <w:r>
        <w:rPr>
          <w:bCs/>
          <w:b/>
        </w:rPr>
        <w:t xml:space="preserve">Transport Mode (Downstream/Outbound Long-Haul):</w:t>
      </w:r>
      <w:r>
        <w:t xml:space="preserve"> </w:t>
      </w:r>
      <w:r>
        <w:t xml:space="preserve">Sea Freight (Container Ship)</w:t>
      </w:r>
    </w:p>
    <w:p>
      <w:pPr>
        <w:numPr>
          <w:ilvl w:val="0"/>
          <w:numId w:val="1006"/>
        </w:numPr>
        <w:pStyle w:val="Compact"/>
      </w:pPr>
      <w:r>
        <w:rPr>
          <w:bCs/>
          <w:b/>
        </w:rPr>
        <w:t xml:space="preserve">Transport Distance (Downstream/Outbound Long-Haul):</w:t>
      </w:r>
      <w:r>
        <w:t xml:space="preserve"> </w:t>
      </w:r>
      <w:r>
        <w:t xml:space="preserve">~8000 km (Assumed for China to Europe)</w:t>
      </w:r>
    </w:p>
    <w:p>
      <w:pPr>
        <w:numPr>
          <w:ilvl w:val="0"/>
          <w:numId w:val="1006"/>
        </w:numPr>
        <w:pStyle w:val="Compact"/>
      </w:pPr>
      <w:r>
        <w:rPr>
          <w:bCs/>
          <w:b/>
        </w:rPr>
        <w:t xml:space="preserve">Last-Mile Delivery Channel:</w:t>
      </w:r>
      <w:r>
        <w:t xml:space="preserve"> </w:t>
      </w:r>
      <w:r>
        <w:t xml:space="preserve">Delivery Type (Van Delivery)</w:t>
      </w:r>
    </w:p>
    <w:p>
      <w:pPr>
        <w:numPr>
          <w:ilvl w:val="0"/>
          <w:numId w:val="1006"/>
        </w:numPr>
        <w:pStyle w:val="Compact"/>
      </w:pPr>
      <w:r>
        <w:rPr>
          <w:bCs/>
          <w:b/>
        </w:rPr>
        <w:t xml:space="preserve">Transport Distance (Last-Mile):</w:t>
      </w:r>
      <w:r>
        <w:t xml:space="preserve"> </w:t>
      </w:r>
      <w:r>
        <w:t xml:space="preserve">xwfehlujpy (200 km)</w:t>
      </w:r>
    </w:p>
    <w:p>
      <w:pPr>
        <w:numPr>
          <w:ilvl w:val="0"/>
          <w:numId w:val="1006"/>
        </w:numPr>
        <w:pStyle w:val="Compact"/>
      </w:pPr>
      <w:r>
        <w:rPr>
          <w:bCs/>
          <w:b/>
        </w:rPr>
        <w:t xml:space="preserve">Assumed Emission Factor (Road Freight - Truck):</w:t>
      </w:r>
      <w:r>
        <w:t xml:space="preserve"> </w:t>
      </w:r>
      <w:r>
        <w:t xml:space="preserve">0.20 kg CO2e/tkm (tonne-kilometer)</w:t>
      </w:r>
    </w:p>
    <w:p>
      <w:pPr>
        <w:numPr>
          <w:ilvl w:val="0"/>
          <w:numId w:val="1006"/>
        </w:numPr>
        <w:pStyle w:val="Compact"/>
      </w:pPr>
      <w:r>
        <w:rPr>
          <w:bCs/>
          <w:b/>
        </w:rPr>
        <w:t xml:space="preserve">Assumed Emission Factor (Sea Freight - Container Ship):</w:t>
      </w:r>
      <w:r>
        <w:t xml:space="preserve"> </w:t>
      </w:r>
      <w:r>
        <w:t xml:space="preserve">0.016 kg CO2e/tkm</w:t>
      </w:r>
    </w:p>
    <w:p>
      <w:pPr>
        <w:numPr>
          <w:ilvl w:val="0"/>
          <w:numId w:val="1006"/>
        </w:numPr>
        <w:pStyle w:val="Compact"/>
      </w:pPr>
      <w:r>
        <w:rPr>
          <w:bCs/>
          <w:b/>
        </w:rPr>
        <w:t xml:space="preserve">Assumed Emission Factor (Van Delivery - Last-Mile):</w:t>
      </w:r>
      <w:r>
        <w:t xml:space="preserve"> </w:t>
      </w:r>
      <w:r>
        <w:t xml:space="preserve">0.30 kg CO2e/tkm</w:t>
      </w:r>
    </w:p>
    <w:bookmarkEnd w:id="27"/>
    <w:bookmarkStart w:id="28" w:name="product-use-phase-data"/>
    <w:p>
      <w:pPr>
        <w:pStyle w:val="Heading3"/>
      </w:pPr>
      <w:r>
        <w:t xml:space="preserve">3.4. Product Use Phase Data</w:t>
      </w:r>
    </w:p>
    <w:p>
      <w:pPr>
        <w:numPr>
          <w:ilvl w:val="0"/>
          <w:numId w:val="1007"/>
        </w:numPr>
        <w:pStyle w:val="Compact"/>
      </w:pPr>
      <w:r>
        <w:rPr>
          <w:bCs/>
          <w:b/>
        </w:rPr>
        <w:t xml:space="preserve">Product Lifespan:</w:t>
      </w:r>
      <w:r>
        <w:t xml:space="preserve"> </w:t>
      </w:r>
      <w:r>
        <w:t xml:space="preserve">zyirkndqrr (%.0f years)</w:t>
      </w:r>
    </w:p>
    <w:p>
      <w:pPr>
        <w:numPr>
          <w:ilvl w:val="0"/>
          <w:numId w:val="1007"/>
        </w:numPr>
        <w:pStyle w:val="Compact"/>
      </w:pPr>
      <w:r>
        <w:rPr>
          <w:bCs/>
          <w:b/>
        </w:rPr>
        <w:t xml:space="preserve">Energy Consumption in Use:</w:t>
      </w:r>
      <w:r>
        <w:t xml:space="preserve"> </w:t>
      </w:r>
      <w:r>
        <w:t xml:space="preserve">fjvgqpplqd (%.0f kWh/year)</w:t>
      </w:r>
    </w:p>
    <w:p>
      <w:pPr>
        <w:numPr>
          <w:ilvl w:val="0"/>
          <w:numId w:val="1007"/>
        </w:numPr>
        <w:pStyle w:val="Compact"/>
      </w:pPr>
      <w:r>
        <w:rPr>
          <w:bCs/>
          <w:b/>
        </w:rPr>
        <w:t xml:space="preserve">Assumed User Electricity Mix:</w:t>
      </w:r>
      <w:r>
        <w:t xml:space="preserve"> </w:t>
      </w:r>
      <w:r>
        <w:t xml:space="preserve">0.6205 kg CO2e/kWh (China National Average)</w:t>
      </w:r>
    </w:p>
    <w:bookmarkEnd w:id="28"/>
    <w:bookmarkStart w:id="29" w:name="end-of-life-eol-scenarios"/>
    <w:p>
      <w:pPr>
        <w:pStyle w:val="Heading3"/>
      </w:pPr>
      <w:r>
        <w:t xml:space="preserve">3.5. End-of-Life (EoL) Scenarios</w:t>
      </w:r>
    </w:p>
    <w:p>
      <w:pPr>
        <w:numPr>
          <w:ilvl w:val="0"/>
          <w:numId w:val="1008"/>
        </w:numPr>
        <w:pStyle w:val="Compact"/>
      </w:pPr>
      <w:r>
        <w:rPr>
          <w:bCs/>
          <w:b/>
        </w:rPr>
        <w:t xml:space="preserve">Recyclability Percentage:</w:t>
      </w:r>
      <w:r>
        <w:t xml:space="preserve"> </w:t>
      </w:r>
      <w:r>
        <w:t xml:space="preserve">uyupeoypjz (%.0f%%)</w:t>
      </w:r>
    </w:p>
    <w:p>
      <w:pPr>
        <w:numPr>
          <w:ilvl w:val="0"/>
          <w:numId w:val="1008"/>
        </w:numPr>
        <w:pStyle w:val="Compact"/>
      </w:pPr>
      <w:r>
        <w:rPr>
          <w:bCs/>
          <w:b/>
        </w:rPr>
        <w:t xml:space="preserve">Circular/Take-back Programs:</w:t>
      </w:r>
      <w:r>
        <w:t xml:space="preserve"> </w:t>
      </w:r>
      <w:r>
        <w:t xml:space="preserve">pxspdoxvdh (Product take-back and refurbishment program initiated.)</w:t>
      </w:r>
    </w:p>
    <w:p>
      <w:pPr>
        <w:numPr>
          <w:ilvl w:val="0"/>
          <w:numId w:val="1008"/>
        </w:numPr>
        <w:pStyle w:val="Compact"/>
      </w:pPr>
      <w:r>
        <w:rPr>
          <w:bCs/>
          <w:b/>
        </w:rPr>
        <w:t xml:space="preserve">Assumed EoL Disposal Emission Factor:</w:t>
      </w:r>
      <w:r>
        <w:t xml:space="preserve"> </w:t>
      </w:r>
      <w:r>
        <w:t xml:space="preserve">0.5 kg CO2e/kg (for non-recycled waste)</w:t>
      </w:r>
    </w:p>
    <w:p>
      <w:pPr>
        <w:numPr>
          <w:ilvl w:val="0"/>
          <w:numId w:val="1008"/>
        </w:numPr>
        <w:pStyle w:val="Compact"/>
      </w:pPr>
      <w:r>
        <w:rPr>
          <w:bCs/>
          <w:b/>
        </w:rPr>
        <w:t xml:space="preserve">Assumed Avoided Emission Factor from Recycling:</w:t>
      </w:r>
      <w:r>
        <w:t xml:space="preserve"> </w:t>
      </w:r>
      <w:r>
        <w:t xml:space="preserve">1.0 kg CO2e/kg (for recycled material, acknowledging such benefits are often reported separately per GHG Protocol guidance)</w:t>
      </w:r>
    </w:p>
    <w:bookmarkEnd w:id="29"/>
    <w:bookmarkEnd w:id="30"/>
    <w:p>
      <w:r>
        <w:pict>
          <v:rect style="width:0;height:1.5pt" o:hralign="center" o:hrstd="t" o:hr="t"/>
        </w:pict>
      </w:r>
    </w:p>
    <w:bookmarkStart w:id="34" w:name="X45b340bf1c45fb0f280ee089cf58cb7a2ad362e"/>
    <w:p>
      <w:pPr>
        <w:pStyle w:val="Heading2"/>
      </w:pPr>
      <w:r>
        <w:t xml:space="preserve">4. Emissions Calculation and GHG Protocol Scopes</w:t>
      </w:r>
    </w:p>
    <w:p>
      <w:pPr>
        <w:pStyle w:val="FirstParagraph"/>
      </w:pPr>
      <w:r>
        <w:t xml:space="preserve">The total Product Carbon Footprint (PCF) for one unit of jkvtuldxvf is calculated across its lifecycle stages and categorized according to the GHG Protocol Scopes.</w:t>
      </w:r>
    </w:p>
    <w:bookmarkStart w:id="31" w:name="lifecycle-stage-emissions-breakdown"/>
    <w:p>
      <w:pPr>
        <w:pStyle w:val="Heading3"/>
      </w:pPr>
      <w:r>
        <w:t xml:space="preserve">4.1. Lifecycle Stage Emissions Breakdown</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Emissions embedded in the raw materials as per BOM.</w:t>
            </w:r>
          </w:p>
        </w:tc>
        <w:tc>
          <w:tcPr/>
          <w:p>
            <w:pPr>
              <w:pStyle w:val="Compact"/>
              <w:jc w:val="left"/>
            </w:pPr>
            <w:r>
              <w:t xml:space="preserve">%.2f</w:t>
            </w:r>
          </w:p>
        </w:tc>
      </w:tr>
      <w:tr>
        <w:tc>
          <w:tcPr/>
          <w:p>
            <w:pPr>
              <w:pStyle w:val="Compact"/>
              <w:jc w:val="left"/>
            </w:pPr>
            <w:r>
              <w:t xml:space="preserve">Manufacturing &amp; Production (Energy)</w:t>
            </w:r>
          </w:p>
        </w:tc>
        <w:tc>
          <w:tcPr/>
          <w:p>
            <w:pPr>
              <w:pStyle w:val="Compact"/>
              <w:jc w:val="left"/>
            </w:pPr>
            <w:r>
              <w:t xml:space="preserve">Electricity consumption during product assembly and manufacturing.</w:t>
            </w:r>
          </w:p>
        </w:tc>
        <w:tc>
          <w:tcPr/>
          <w:p>
            <w:pPr>
              <w:pStyle w:val="Compact"/>
              <w:jc w:val="left"/>
            </w:pPr>
            <w:r>
              <w:t xml:space="preserve">%.2f</w:t>
            </w:r>
          </w:p>
        </w:tc>
      </w:tr>
      <w:tr>
        <w:tc>
          <w:tcPr/>
          <w:p>
            <w:pPr>
              <w:pStyle w:val="Compact"/>
              <w:jc w:val="left"/>
            </w:pPr>
            <w:r>
              <w:t xml:space="preserve">Transport (Inbound)</w:t>
            </w:r>
          </w:p>
        </w:tc>
        <w:tc>
          <w:tcPr/>
          <w:p>
            <w:pPr>
              <w:pStyle w:val="Compact"/>
              <w:jc w:val="left"/>
            </w:pPr>
            <w:r>
              <w:t xml:space="preserve">Transportation of materials/components from suppliers to the factory.</w:t>
            </w:r>
          </w:p>
        </w:tc>
        <w:tc>
          <w:tcPr/>
          <w:p>
            <w:pPr>
              <w:pStyle w:val="Compact"/>
              <w:jc w:val="left"/>
            </w:pPr>
            <w:r>
              <w:t xml:space="preserve">%.2f</w:t>
            </w:r>
          </w:p>
        </w:tc>
      </w:tr>
      <w:tr>
        <w:tc>
          <w:tcPr/>
          <w:p>
            <w:pPr>
              <w:pStyle w:val="Compact"/>
              <w:jc w:val="left"/>
            </w:pPr>
            <w:r>
              <w:t xml:space="preserve">Transport (Outbound - Long Haul)</w:t>
            </w:r>
          </w:p>
        </w:tc>
        <w:tc>
          <w:tcPr/>
          <w:p>
            <w:pPr>
              <w:pStyle w:val="Compact"/>
              <w:jc w:val="left"/>
            </w:pPr>
            <w:r>
              <w:t xml:space="preserve">Transportation of finished product from factory to regional distribution.</w:t>
            </w:r>
          </w:p>
        </w:tc>
        <w:tc>
          <w:tcPr/>
          <w:p>
            <w:pPr>
              <w:pStyle w:val="Compact"/>
              <w:jc w:val="left"/>
            </w:pPr>
            <w:r>
              <w:t xml:space="preserve">%.2f</w:t>
            </w:r>
          </w:p>
        </w:tc>
      </w:tr>
      <w:tr>
        <w:tc>
          <w:tcPr/>
          <w:p>
            <w:pPr>
              <w:pStyle w:val="Compact"/>
              <w:jc w:val="left"/>
            </w:pPr>
            <w:r>
              <w:t xml:space="preserve">Transport (Last-Mile Delivery)</w:t>
            </w:r>
          </w:p>
        </w:tc>
        <w:tc>
          <w:tcPr/>
          <w:p>
            <w:pPr>
              <w:pStyle w:val="Compact"/>
              <w:jc w:val="left"/>
            </w:pPr>
            <w:r>
              <w:t xml:space="preserve">Delivery of finished product from regional hub to end customer.</w:t>
            </w:r>
          </w:p>
        </w:tc>
        <w:tc>
          <w:tcPr/>
          <w:p>
            <w:pPr>
              <w:pStyle w:val="Compact"/>
              <w:jc w:val="left"/>
            </w:pPr>
            <w:r>
              <w:t xml:space="preserve">%.2f</w:t>
            </w:r>
          </w:p>
        </w:tc>
      </w:tr>
      <w:tr>
        <w:tc>
          <w:tcPr/>
          <w:p>
            <w:pPr>
              <w:pStyle w:val="Compact"/>
              <w:jc w:val="left"/>
            </w:pPr>
            <w:r>
              <w:t xml:space="preserve">Use Phase</w:t>
            </w:r>
          </w:p>
        </w:tc>
        <w:tc>
          <w:tcPr/>
          <w:p>
            <w:pPr>
              <w:pStyle w:val="Compact"/>
              <w:jc w:val="left"/>
            </w:pPr>
            <w:r>
              <w:t xml:space="preserve">Energy consumption by the product during its operational lifespan.</w:t>
            </w:r>
          </w:p>
        </w:tc>
        <w:tc>
          <w:tcPr/>
          <w:p>
            <w:pPr>
              <w:pStyle w:val="Compact"/>
              <w:jc w:val="left"/>
            </w:pPr>
            <w:r>
              <w:t xml:space="preserve">%.2f</w:t>
            </w:r>
          </w:p>
        </w:tc>
      </w:tr>
      <w:tr>
        <w:tc>
          <w:tcPr/>
          <w:p>
            <w:pPr>
              <w:pStyle w:val="Compact"/>
              <w:jc w:val="left"/>
            </w:pPr>
            <w:r>
              <w:t xml:space="preserve">End-of-Life (Net)</w:t>
            </w:r>
          </w:p>
        </w:tc>
        <w:tc>
          <w:tcPr/>
          <w:p>
            <w:pPr>
              <w:pStyle w:val="Compact"/>
              <w:jc w:val="left"/>
            </w:pPr>
            <w:r>
              <w:t xml:space="preserve">Emissions from disposal of non-recycled content, offset by avoided emissions from recycling.</w:t>
            </w:r>
          </w:p>
        </w:tc>
        <w:tc>
          <w:tcPr/>
          <w:p>
            <w:pPr>
              <w:pStyle w:val="Compact"/>
              <w:jc w:val="left"/>
            </w:pPr>
            <w:r>
              <w:t xml:space="preserve">%.2f</w:t>
            </w:r>
          </w:p>
        </w:tc>
      </w:tr>
      <w:tr>
        <w:tc>
          <w:tcPr/>
          <w:p>
            <w:pPr>
              <w:pStyle w:val="Compact"/>
              <w:jc w:val="left"/>
            </w:pPr>
            <w:r>
              <w:rPr>
                <w:bCs/>
                <w:b/>
              </w:rPr>
              <w:t xml:space="preserve">Total Product Carbon Footprint</w:t>
            </w:r>
          </w:p>
        </w:tc>
        <w:tc>
          <w:tcPr/>
          <w:p>
            <w:pPr>
              <w:pStyle w:val="Compact"/>
              <w:jc w:val="left"/>
            </w:pPr>
            <w:r>
              <w:rPr>
                <w:bCs/>
                <w:b/>
              </w:rPr>
              <w:t xml:space="preserve">Sum of all lifecycle stages.</w:t>
            </w:r>
          </w:p>
        </w:tc>
        <w:tc>
          <w:tcPr/>
          <w:p>
            <w:pPr>
              <w:pStyle w:val="Compact"/>
              <w:jc w:val="left"/>
            </w:pPr>
            <w:r>
              <w:rPr>
                <w:bCs/>
                <w:b/>
              </w:rPr>
              <w:t xml:space="preserve">%.2f</w:t>
            </w:r>
          </w:p>
        </w:tc>
      </w:tr>
    </w:tbl>
    <w:bookmarkEnd w:id="31"/>
    <w:bookmarkStart w:id="32" w:name="ghg-protocol-scope-categorization"/>
    <w:p>
      <w:pPr>
        <w:pStyle w:val="Heading3"/>
      </w:pPr>
      <w:r>
        <w:t xml:space="preserve">4.2. GHG Protocol Scope Categorization</w:t>
      </w:r>
    </w:p>
    <w:p>
      <w:pPr>
        <w:pStyle w:val="FirstParagraph"/>
      </w:pPr>
      <w:r>
        <w:t xml:space="preserve">The emissions are allocated to the relevant GHG Protocol Scopes for corporate reporting context. For a product PCF, direct manufacturing emissions (Scope 1) are often covered within production. Here, we assume negligible direct fuel combustion at the product level beyond purchased energy.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Scope Category</w:t>
            </w:r>
          </w:p>
        </w:tc>
        <w:tc>
          <w:tcPr/>
          <w:p>
            <w:pPr>
              <w:pStyle w:val="Compact"/>
              <w:jc w:val="left"/>
            </w:pPr>
            <w:r>
              <w:t xml:space="preserve">Description</w:t>
            </w:r>
          </w:p>
        </w:tc>
        <w:tc>
          <w:tcPr/>
          <w:p>
            <w:pPr>
              <w:pStyle w:val="Compact"/>
              <w:jc w:val="left"/>
            </w:pPr>
            <w:r>
              <w:t xml:space="preserve">Emissions (kg CO2e)</w:t>
            </w:r>
          </w:p>
        </w:tc>
      </w:tr>
      <w:tr>
        <w:tc>
          <w:tcPr/>
          <w:p>
            <w:pPr>
              <w:pStyle w:val="Compact"/>
              <w:jc w:val="left"/>
            </w:pPr>
            <w:r>
              <w:rPr>
                <w:bCs/>
                <w:b/>
              </w:rPr>
              <w:t xml:space="preserve">Scope 1</w:t>
            </w:r>
          </w:p>
        </w:tc>
        <w:tc>
          <w:tcPr/>
          <w:p>
            <w:pPr>
              <w:pStyle w:val="Compact"/>
              <w:jc w:val="left"/>
            </w:pPr>
            <w:r>
              <w:t xml:space="preserve">Direct emissions from owned or controlled sources (assumed negligible for product-specific direct processes, typically captured at facility level).</w:t>
            </w:r>
          </w:p>
        </w:tc>
        <w:tc>
          <w:tcPr/>
          <w:p>
            <w:pPr>
              <w:pStyle w:val="Compact"/>
              <w:jc w:val="left"/>
            </w:pPr>
            <w:r>
              <w:t xml:space="preserve">%.2f</w:t>
            </w:r>
          </w:p>
        </w:tc>
      </w:tr>
      <w:tr>
        <w:tc>
          <w:tcPr/>
          <w:p>
            <w:pPr>
              <w:pStyle w:val="Compact"/>
              <w:jc w:val="left"/>
            </w:pPr>
            <w:r>
              <w:rPr>
                <w:bCs/>
                <w:b/>
              </w:rPr>
              <w:t xml:space="preserve">Scope 2</w:t>
            </w:r>
          </w:p>
        </w:tc>
        <w:tc>
          <w:tcPr/>
          <w:p>
            <w:pPr>
              <w:pStyle w:val="Compact"/>
              <w:jc w:val="left"/>
            </w:pPr>
            <w:r>
              <w:t xml:space="preserve">Indirect emissions from the generation of purchased electricity for manufacturing.</w:t>
            </w:r>
          </w:p>
        </w:tc>
        <w:tc>
          <w:tcPr/>
          <w:p>
            <w:pPr>
              <w:pStyle w:val="Compact"/>
              <w:jc w:val="left"/>
            </w:pPr>
            <w:r>
              <w:t xml:space="preserve">%.2f</w:t>
            </w:r>
          </w:p>
        </w:tc>
      </w:tr>
      <w:tr>
        <w:tc>
          <w:tcPr>
            <w:gridSpan w:val="3"/>
          </w:tcPr>
          <w:p>
            <w:pPr>
              <w:pStyle w:val="Compact"/>
              <w:jc w:val="center"/>
            </w:pPr>
            <w:r>
              <w:rPr>
                <w:bCs/>
                <w:b/>
              </w:rPr>
              <w:t xml:space="preserve">Scope 3 - Value Chain Emissions</w:t>
            </w:r>
          </w:p>
        </w:tc>
      </w:tr>
      <w:tr>
        <w:tc>
          <w:tcPr/>
          <w:p>
            <w:pPr>
              <w:pStyle w:val="Compact"/>
              <w:jc w:val="left"/>
            </w:pPr>
            <w:r>
              <w:t xml:space="preserve">Scope 3, Category 1</w:t>
            </w:r>
          </w:p>
        </w:tc>
        <w:tc>
          <w:tcPr/>
          <w:p>
            <w:pPr>
              <w:pStyle w:val="Compact"/>
              <w:jc w:val="left"/>
            </w:pPr>
            <w:r>
              <w:t xml:space="preserve">Purchased goods and services (materials acquisition and production).</w:t>
            </w:r>
          </w:p>
        </w:tc>
        <w:tc>
          <w:tcPr/>
          <w:p>
            <w:pPr>
              <w:pStyle w:val="Compact"/>
              <w:jc w:val="left"/>
            </w:pPr>
            <w:r>
              <w:t xml:space="preserve">%.2f</w:t>
            </w:r>
          </w:p>
        </w:tc>
      </w:tr>
      <w:tr>
        <w:tc>
          <w:tcPr/>
          <w:p>
            <w:pPr>
              <w:pStyle w:val="Compact"/>
              <w:jc w:val="left"/>
            </w:pPr>
            <w:r>
              <w:t xml:space="preserve">Scope 3, Category 4</w:t>
            </w:r>
          </w:p>
        </w:tc>
        <w:tc>
          <w:tcPr/>
          <w:p>
            <w:pPr>
              <w:pStyle w:val="Compact"/>
              <w:jc w:val="left"/>
            </w:pPr>
            <w:r>
              <w:t xml:space="preserve">Upstream transportation and distribution (inbound logistics).</w:t>
            </w:r>
          </w:p>
        </w:tc>
        <w:tc>
          <w:tcPr/>
          <w:p>
            <w:pPr>
              <w:pStyle w:val="Compact"/>
              <w:jc w:val="left"/>
            </w:pPr>
            <w:r>
              <w:t xml:space="preserve">%.2f</w:t>
            </w:r>
          </w:p>
        </w:tc>
      </w:tr>
      <w:tr>
        <w:tc>
          <w:tcPr/>
          <w:p>
            <w:pPr>
              <w:pStyle w:val="Compact"/>
              <w:jc w:val="left"/>
            </w:pPr>
            <w:r>
              <w:t xml:space="preserve">Scope 3, Category 9</w:t>
            </w:r>
          </w:p>
        </w:tc>
        <w:tc>
          <w:tcPr/>
          <w:p>
            <w:pPr>
              <w:pStyle w:val="Compact"/>
              <w:jc w:val="left"/>
            </w:pPr>
            <w:r>
              <w:t xml:space="preserve">Downstream transportation and distribution (outbound logistics to customer).</w:t>
            </w:r>
          </w:p>
        </w:tc>
        <w:tc>
          <w:tcPr/>
          <w:p>
            <w:pPr>
              <w:pStyle w:val="Compact"/>
              <w:jc w:val="left"/>
            </w:pPr>
            <w:r>
              <w:t xml:space="preserve">%.2f</w:t>
            </w:r>
          </w:p>
        </w:tc>
      </w:tr>
      <w:tr>
        <w:tc>
          <w:tcPr/>
          <w:p>
            <w:pPr>
              <w:pStyle w:val="Compact"/>
              <w:jc w:val="left"/>
            </w:pPr>
            <w:r>
              <w:t xml:space="preserve">Scope 3, Category 11</w:t>
            </w:r>
          </w:p>
        </w:tc>
        <w:tc>
          <w:tcPr/>
          <w:p>
            <w:pPr>
              <w:pStyle w:val="Compact"/>
              <w:jc w:val="left"/>
            </w:pPr>
            <w:r>
              <w:t xml:space="preserve">Use of sold products (energy consumption during product use).</w:t>
            </w:r>
          </w:p>
        </w:tc>
        <w:tc>
          <w:tcPr/>
          <w:p>
            <w:pPr>
              <w:pStyle w:val="Compact"/>
              <w:jc w:val="left"/>
            </w:pPr>
            <w:r>
              <w:t xml:space="preserve">%.2f</w:t>
            </w:r>
          </w:p>
        </w:tc>
      </w:tr>
      <w:tr>
        <w:tc>
          <w:tcPr/>
          <w:p>
            <w:pPr>
              <w:pStyle w:val="Compact"/>
              <w:jc w:val="left"/>
            </w:pPr>
            <w:r>
              <w:t xml:space="preserve">Scope 3, Category 12</w:t>
            </w:r>
          </w:p>
        </w:tc>
        <w:tc>
          <w:tcPr/>
          <w:p>
            <w:pPr>
              <w:pStyle w:val="Compact"/>
              <w:jc w:val="left"/>
            </w:pPr>
            <w:r>
              <w:t xml:space="preserve">End-of-life treatment of sold products (disposal and recycling impacts, net of avoided emissions).</w:t>
            </w:r>
          </w:p>
        </w:tc>
        <w:tc>
          <w:tcPr/>
          <w:p>
            <w:pPr>
              <w:pStyle w:val="Compact"/>
              <w:jc w:val="left"/>
            </w:pPr>
            <w:r>
              <w:t xml:space="preserve">%.2f</w:t>
            </w:r>
          </w:p>
        </w:tc>
      </w:tr>
      <w:tr>
        <w:tc>
          <w:tcPr/>
          <w:p>
            <w:pPr>
              <w:pStyle w:val="Compact"/>
              <w:jc w:val="left"/>
            </w:pPr>
            <w:r>
              <w:rPr>
                <w:bCs/>
                <w:b/>
              </w:rPr>
              <w:t xml:space="preserve">Total PCF (from Scopes)</w:t>
            </w:r>
          </w:p>
        </w:tc>
        <w:tc>
          <w:tcPr/>
          <w:p>
            <w:pPr>
              <w:pStyle w:val="Compact"/>
              <w:jc w:val="left"/>
            </w:pPr>
            <w:r>
              <w:rPr>
                <w:bCs/>
                <w:b/>
              </w:rPr>
              <w:t xml:space="preserve">Sum of all Scopes 1, 2, and 3.</w:t>
            </w:r>
          </w:p>
        </w:tc>
        <w:tc>
          <w:tcPr/>
          <w:p>
            <w:pPr>
              <w:pStyle w:val="Compact"/>
              <w:jc w:val="left"/>
            </w:pPr>
            <w:r>
              <w:rPr>
                <w:bCs/>
                <w:b/>
              </w:rPr>
              <w:t xml:space="preserve">%.2f</w:t>
            </w:r>
          </w:p>
        </w:tc>
      </w:tr>
    </w:tbl>
    <w:bookmarkEnd w:id="32"/>
    <w:bookmarkStart w:id="33" w:name="scope-3-coverage-statement"/>
    <w:p>
      <w:pPr>
        <w:pStyle w:val="Heading3"/>
      </w:pPr>
      <w:r>
        <w:t xml:space="preserve">4.3. Scope 3 Coverage Statement</w:t>
      </w:r>
    </w:p>
    <w:p>
      <w:pPr>
        <w:pStyle w:val="FirstParagraph"/>
      </w:pPr>
      <w:r>
        <w:t xml:space="preserve">The analysis covers critical Scope 3 categories, including Purchased Goods &amp; Services (Category 1), Upstream Transportation (Category 4), Downstream Transportation (Category 9), Use of Sold Products (Category 11), and End-of-Life Treatment (Category 12). This comprehensive approach aims to achieve at least 95% coverage for Scope 3 emissions, aligning with the stringent reporting requirements for 2026.</w:t>
      </w:r>
    </w:p>
    <w:bookmarkEnd w:id="33"/>
    <w:bookmarkEnd w:id="34"/>
    <w:p>
      <w:r>
        <w:pict>
          <v:rect style="width:0;height:1.5pt" o:hralign="center" o:hrstd="t" o:hr="t"/>
        </w:pict>
      </w:r>
    </w:p>
    <w:bookmarkStart w:id="38" w:name="review-report"/>
    <w:p>
      <w:pPr>
        <w:pStyle w:val="Heading2"/>
      </w:pPr>
      <w:r>
        <w:t xml:space="preserve">5. Review &amp; Report</w:t>
      </w:r>
    </w:p>
    <w:bookmarkStart w:id="35" w:name="emission-hotspots"/>
    <w:p>
      <w:pPr>
        <w:pStyle w:val="Heading3"/>
      </w:pPr>
      <w:r>
        <w:t xml:space="preserve">5.1. Emission Hotspots</w:t>
      </w:r>
    </w:p>
    <w:p>
      <w:pPr>
        <w:pStyle w:val="FirstParagraph"/>
      </w:pPr>
      <w:r>
        <w:t xml:space="preserve">The primary emission hotspots for jkvtuldxvf are identified as follows:</w:t>
      </w:r>
    </w:p>
    <w:p>
      <w:pPr>
        <w:numPr>
          <w:ilvl w:val="0"/>
          <w:numId w:val="1009"/>
        </w:numPr>
        <w:pStyle w:val="Compact"/>
      </w:pPr>
      <w:r>
        <w:rPr>
          <w:bCs/>
          <w:b/>
        </w:rPr>
        <w:t xml:space="preserve">Raw Materials:</w:t>
      </w:r>
      <w:r>
        <w:t xml:space="preserve"> </w:t>
      </w:r>
      <w:r>
        <w:t xml:space="preserve">The extraction and processing of materials, particularly those with high embodied carbon (e.g., metals, electronics), contribute significantly (%.2f kg CO2e) to the overall footprint.</w:t>
      </w:r>
    </w:p>
    <w:p>
      <w:pPr>
        <w:numPr>
          <w:ilvl w:val="0"/>
          <w:numId w:val="1009"/>
        </w:numPr>
        <w:pStyle w:val="Compact"/>
      </w:pPr>
      <w:r>
        <w:rPr>
          <w:bCs/>
          <w:b/>
        </w:rPr>
        <w:t xml:space="preserve">Use Phase:</w:t>
      </w:r>
      <w:r>
        <w:t xml:space="preserve"> </w:t>
      </w:r>
      <w:r>
        <w:t xml:space="preserve">The energy consumed during the product\'s lifespan (%.2f kg CO2e) is a major contributor, highlighting the importance of energy efficiency in product design and user behavior.</w:t>
      </w:r>
    </w:p>
    <w:p>
      <w:pPr>
        <w:numPr>
          <w:ilvl w:val="0"/>
          <w:numId w:val="1009"/>
        </w:numPr>
        <w:pStyle w:val="Compact"/>
      </w:pPr>
      <w:r>
        <w:rPr>
          <w:bCs/>
          <w:b/>
        </w:rPr>
        <w:t xml:space="preserve">Manufacturing Energy:</w:t>
      </w:r>
      <w:r>
        <w:t xml:space="preserve"> </w:t>
      </w:r>
      <w:r>
        <w:t xml:space="preserve">While the use of renewable energy (%.0f%%) at the production facility helps mitigate emissions, the energy intensity still represents a notable portion (%.2f kg CO2e) of the production footprint.</w:t>
      </w:r>
    </w:p>
    <w:p>
      <w:pPr>
        <w:numPr>
          <w:ilvl w:val="0"/>
          <w:numId w:val="1009"/>
        </w:numPr>
        <w:pStyle w:val="Compact"/>
      </w:pPr>
      <w:r>
        <w:rPr>
          <w:bCs/>
          <w:b/>
        </w:rPr>
        <w:t xml:space="preserve">Downstream Transportation:</w:t>
      </w:r>
      <w:r>
        <w:t xml:space="preserve"> </w:t>
      </w:r>
      <w:r>
        <w:t xml:space="preserve">The long-haul journey from China to Europe, combined with last-mile delivery, results in substantial transport emissions (%.2f kg CO2e total for outbound).</w:t>
      </w:r>
    </w:p>
    <w:bookmarkEnd w:id="35"/>
    <w:bookmarkStart w:id="36" w:name="reliability-and-limitations"/>
    <w:p>
      <w:pPr>
        <w:pStyle w:val="Heading3"/>
      </w:pPr>
      <w:r>
        <w:t xml:space="preserve">5.2. Reliability and Limitations</w:t>
      </w:r>
    </w:p>
    <w:p>
      <w:pPr>
        <w:pStyle w:val="FirstParagraph"/>
      </w:pPr>
      <w:r>
        <w:t xml:space="preserve">The reliability of this PCF analysis is contingent upon the accuracy of the provided primary data and the representativeness of the secondary emission factors used. Key considerations include:</w:t>
      </w:r>
    </w:p>
    <w:p>
      <w:pPr>
        <w:numPr>
          <w:ilvl w:val="0"/>
          <w:numId w:val="1010"/>
        </w:numPr>
        <w:pStyle w:val="Compact"/>
      </w:pPr>
      <w:r>
        <w:rPr>
          <w:bCs/>
          <w:b/>
        </w:rPr>
        <w:t xml:space="preserve">Data Specificity:</w:t>
      </w:r>
      <w:r>
        <w:t xml:space="preserve"> </w:t>
      </w:r>
      <w:r>
        <w:t xml:space="preserve">Generic emission factors from databases (e.g., for transport modes, EoL processes) are used where product-specific or supplier-specific primary data were not available.</w:t>
      </w:r>
    </w:p>
    <w:p>
      <w:pPr>
        <w:numPr>
          <w:ilvl w:val="0"/>
          <w:numId w:val="1010"/>
        </w:numPr>
        <w:pStyle w:val="Compact"/>
      </w:pPr>
      <w:r>
        <w:rPr>
          <w:bCs/>
          <w:b/>
        </w:rPr>
        <w:t xml:space="preserve">System Boundary Extension:</w:t>
      </w:r>
      <w:r>
        <w:t xml:space="preserve"> </w:t>
      </w:r>
      <w:r>
        <w:t xml:space="preserve">While the initial parameter was \'factory_gate\', the analysis extended to \'cradle-to-grave\' to incorporate all requested elements. This expansion provides a more complete picture of the product\'s environmental impact.</w:t>
      </w:r>
    </w:p>
    <w:p>
      <w:pPr>
        <w:numPr>
          <w:ilvl w:val="0"/>
          <w:numId w:val="1010"/>
        </w:numPr>
        <w:pStyle w:val="Compact"/>
      </w:pPr>
      <w:r>
        <w:rPr>
          <w:bCs/>
          <w:b/>
        </w:rPr>
        <w:t xml:space="preserve">Avoided Emissions:</w:t>
      </w:r>
      <w:r>
        <w:t xml:space="preserve"> </w:t>
      </w:r>
      <w:r>
        <w:t xml:space="preserve">Avoided emissions from recycling are estimated based on a general factor. The GHG Protocol typically recommends reporting avoided emissions separately rather than deducting them from the inventory total. However, for the purpose of demonstrating "circular economy impacts" on the overall PCF value as requested, a net EoL emission is presented.</w:t>
      </w:r>
    </w:p>
    <w:p>
      <w:pPr>
        <w:numPr>
          <w:ilvl w:val="0"/>
          <w:numId w:val="1010"/>
        </w:numPr>
        <w:pStyle w:val="Compact"/>
      </w:pPr>
      <w:r>
        <w:rPr>
          <w:bCs/>
          <w:b/>
        </w:rPr>
        <w:t xml:space="preserve">LSR Standard:</w:t>
      </w:r>
      <w:r>
        <w:t xml:space="preserve"> </w:t>
      </w:r>
      <w:r>
        <w:t xml:space="preserve">While the 2026 LSR Standard for land use and carbon removals is acknowledged, its direct quantitative application was limited due to the generic nature of the BOM for agricultural inputs. Future analyses with more specific data will allow for more precise application.</w:t>
      </w:r>
    </w:p>
    <w:bookmarkEnd w:id="36"/>
    <w:bookmarkStart w:id="37" w:name="recommendations-for-reduction"/>
    <w:p>
      <w:pPr>
        <w:pStyle w:val="Heading3"/>
      </w:pPr>
      <w:r>
        <w:t xml:space="preserve">5.3. Recommendations for Reduction</w:t>
      </w:r>
    </w:p>
    <w:p>
      <w:pPr>
        <w:numPr>
          <w:ilvl w:val="0"/>
          <w:numId w:val="1011"/>
        </w:numPr>
        <w:pStyle w:val="Compact"/>
      </w:pPr>
      <w:r>
        <w:rPr>
          <w:bCs/>
          <w:b/>
        </w:rPr>
        <w:t xml:space="preserve">Sustainable Sourcing:</w:t>
      </w:r>
      <w:r>
        <w:t xml:space="preserve"> </w:t>
      </w:r>
      <w:r>
        <w:t xml:space="preserve">Explore materials with lower embodied carbon, increase recycled content, and engage with suppliers to reduce their upstream emissions.</w:t>
      </w:r>
    </w:p>
    <w:p>
      <w:pPr>
        <w:numPr>
          <w:ilvl w:val="0"/>
          <w:numId w:val="1011"/>
        </w:numPr>
        <w:pStyle w:val="Compact"/>
      </w:pPr>
      <w:r>
        <w:rPr>
          <w:bCs/>
          <w:b/>
        </w:rPr>
        <w:t xml:space="preserve">Energy Efficiency in Production:</w:t>
      </w:r>
      <w:r>
        <w:t xml:space="preserve"> </w:t>
      </w:r>
      <w:r>
        <w:t xml:space="preserve">Continue to invest in and procure renewable energy for manufacturing operations and optimize processes to reduce energy intensity.</w:t>
      </w:r>
    </w:p>
    <w:p>
      <w:pPr>
        <w:numPr>
          <w:ilvl w:val="0"/>
          <w:numId w:val="1011"/>
        </w:numPr>
        <w:pStyle w:val="Compact"/>
      </w:pPr>
      <w:r>
        <w:rPr>
          <w:bCs/>
          <w:b/>
        </w:rPr>
        <w:t xml:space="preserve">Logistics Optimization:</w:t>
      </w:r>
      <w:r>
        <w:t xml:space="preserve"> </w:t>
      </w:r>
      <w:r>
        <w:t xml:space="preserve">Investigate more efficient transportation modes (e.g., shifting from air to sea where feasible, optimizing routes and load factors), especially for long-haul and last-mile deliveries.</w:t>
      </w:r>
    </w:p>
    <w:p>
      <w:pPr>
        <w:numPr>
          <w:ilvl w:val="0"/>
          <w:numId w:val="1011"/>
        </w:numPr>
        <w:pStyle w:val="Compact"/>
      </w:pPr>
      <w:r>
        <w:rPr>
          <w:bCs/>
          <w:b/>
        </w:rPr>
        <w:t xml:space="preserve">Product Design for Longevity &amp; Efficiency:</w:t>
      </w:r>
      <w:r>
        <w:t xml:space="preserve"> </w:t>
      </w:r>
      <w:r>
        <w:t xml:space="preserve">Design products for extended lifespans, reparability, and reduced energy consumption during the use phase.</w:t>
      </w:r>
    </w:p>
    <w:p>
      <w:pPr>
        <w:numPr>
          <w:ilvl w:val="0"/>
          <w:numId w:val="1011"/>
        </w:numPr>
        <w:pStyle w:val="Compact"/>
      </w:pPr>
      <w:r>
        <w:rPr>
          <w:bCs/>
          <w:b/>
        </w:rPr>
        <w:t xml:space="preserve">Enhance Circularity:</w:t>
      </w:r>
      <w:r>
        <w:t xml:space="preserve"> </w:t>
      </w:r>
      <w:r>
        <w:t xml:space="preserve">Strengthen and expand take-back and refurbishment programs (as initiated by</w:t>
      </w:r>
      <w:r>
        <w:t xml:space="preserve"> </w:t>
      </w:r>
      <w:r>
        <w:t xml:space="preserve">pxspdoxvdh</w:t>
      </w:r>
      <w:r>
        <w:t xml:space="preserve">) to maximize material reuse and recycling, further minimizing end-of-life impacts.</w:t>
      </w:r>
    </w:p>
    <w:bookmarkEnd w:id="37"/>
    <w:bookmarkEnd w:id="38"/>
    <w:p>
      <w:r>
        <w:pict>
          <v:rect style="width:0;height:1.5pt" o:hralign="center" o:hrstd="t" o:hr="t"/>
        </w:pict>
      </w:r>
    </w:p>
    <w:p>
      <w:pPr>
        <w:pStyle w:val="FirstParagraph"/>
      </w:pPr>
      <w:r>
        <w:t xml:space="preserve">Confidential - Internal Use Only</w:t>
      </w:r>
    </w:p>
    <w:p>
      <w:pPr>
        <w:pStyle w:val="BodyText"/>
      </w:pPr>
      <w:r>
        <w:t xml:space="preserve">"""</w:t>
      </w:r>
      <w:r>
        <w:t xml:space="preserve"> </w:t>
      </w:r>
      <w:r>
        <w:t xml:space="preserve"># Populate the HTML with calculated values</w:t>
      </w:r>
      <w:r>
        <w:t xml:space="preserve"> </w:t>
      </w:r>
      <w:r>
        <w:t xml:space="preserve">html_output = html_template % (</w:t>
      </w:r>
      <w:r>
        <w:t xml:space="preserve"> </w:t>
      </w:r>
      <w:r>
        <w:t xml:space="preserve">total_pcf_kgCO2e, # Executive Summary</w:t>
      </w:r>
      <w:r>
        <w:t xml:space="preserve"> </w:t>
      </w:r>
      <w:r>
        <w:t xml:space="preserve">total_material_carbon, # Material Inputs</w:t>
      </w:r>
      <w:r>
        <w:t xml:space="preserve"> </w:t>
      </w:r>
      <w:r>
        <w:t xml:space="preserve">float(energy_intensity_kwh_unit),</w:t>
      </w:r>
      <w:r>
        <w:t xml:space="preserve"> </w:t>
      </w:r>
      <w:r>
        <w:t xml:space="preserve">float(renewable_energy_usage.replace(\'%\', \'\')),</w:t>
      </w:r>
      <w:r>
        <w:t xml:space="preserve"> </w:t>
      </w:r>
      <w:r>
        <w:t xml:space="preserve">effective_grid_ef,</w:t>
      </w:r>
      <w:r>
        <w:t xml:space="preserve"> </w:t>
      </w:r>
      <w:r>
        <w:t xml:space="preserve">float(product_lifespan.split(\' \')),</w:t>
      </w:r>
      <w:r>
        <w:t xml:space="preserve"> </w:t>
      </w:r>
      <w:r>
        <w:t xml:space="preserve">float(energy_consumption_in_use.split(\' \')),</w:t>
      </w:r>
      <w:r>
        <w:t xml:space="preserve"> </w:t>
      </w:r>
      <w:r>
        <w:t xml:space="preserve">float(recyclability_percentage.replace(\'%\', \'\')),</w:t>
      </w:r>
      <w:r>
        <w:t xml:space="preserve"> </w:t>
      </w:r>
      <w:r>
        <w:t xml:space="preserve">total_material_carbon, # Lifecycle Stages Table</w:t>
      </w:r>
      <w:r>
        <w:t xml:space="preserve"> </w:t>
      </w:r>
      <w:r>
        <w:t xml:space="preserve">production_energy_emissions,</w:t>
      </w:r>
      <w:r>
        <w:t xml:space="preserve"> </w:t>
      </w:r>
      <w:r>
        <w:t xml:space="preserve">inbound_transport_emissions,</w:t>
      </w:r>
      <w:r>
        <w:t xml:space="preserve"> </w:t>
      </w:r>
      <w:r>
        <w:t xml:space="preserve">outbound_transport_emissions_long_haul,</w:t>
      </w:r>
      <w:r>
        <w:t xml:space="preserve"> </w:t>
      </w:r>
      <w:r>
        <w:t xml:space="preserve">outbound_transport_emissions_last_mile,</w:t>
      </w:r>
      <w:r>
        <w:t xml:space="preserve"> </w:t>
      </w:r>
      <w:r>
        <w:t xml:space="preserve">use_phase_emissions,</w:t>
      </w:r>
      <w:r>
        <w:t xml:space="preserve"> </w:t>
      </w:r>
      <w:r>
        <w:t xml:space="preserve">net_eol_emissions,</w:t>
      </w:r>
      <w:r>
        <w:t xml:space="preserve"> </w:t>
      </w:r>
      <w:r>
        <w:t xml:space="preserve">total_pcf_kgCO2e,</w:t>
      </w:r>
      <w:r>
        <w:t xml:space="preserve"> </w:t>
      </w:r>
      <w:r>
        <w:t xml:space="preserve">scope1_emissions_product, # GHG Protocol Scopes Table</w:t>
      </w:r>
      <w:r>
        <w:t xml:space="preserve"> </w:t>
      </w:r>
      <w:r>
        <w:t xml:space="preserve">scope2_emissions_product,</w:t>
      </w:r>
      <w:r>
        <w:t xml:space="preserve"> </w:t>
      </w:r>
      <w:r>
        <w:t xml:space="preserve">scope3_cat1_purchased_goods_services,</w:t>
      </w:r>
      <w:r>
        <w:t xml:space="preserve"> </w:t>
      </w:r>
      <w:r>
        <w:t xml:space="preserve">scope3_cat4_upstream_transport,</w:t>
      </w:r>
      <w:r>
        <w:t xml:space="preserve"> </w:t>
      </w:r>
      <w:r>
        <w:t xml:space="preserve">scope3_cat9_downstream_transport,</w:t>
      </w:r>
      <w:r>
        <w:t xml:space="preserve"> </w:t>
      </w:r>
      <w:r>
        <w:t xml:space="preserve">scope3_cat11_use_of_sold_products,</w:t>
      </w:r>
      <w:r>
        <w:t xml:space="preserve"> </w:t>
      </w:r>
      <w:r>
        <w:t xml:space="preserve">scope3_cat12_eol_treatment,</w:t>
      </w:r>
      <w:r>
        <w:t xml:space="preserve"> </w:t>
      </w:r>
      <w:r>
        <w:t xml:space="preserve">total_pcf_from_scopes,</w:t>
      </w:r>
      <w:r>
        <w:t xml:space="preserve"> </w:t>
      </w:r>
      <w:r>
        <w:t xml:space="preserve">total_material_carbon, # Hotspots</w:t>
      </w:r>
      <w:r>
        <w:t xml:space="preserve"> </w:t>
      </w:r>
      <w:r>
        <w:t xml:space="preserve">use_phase_emissions,</w:t>
      </w:r>
      <w:r>
        <w:t xml:space="preserve"> </w:t>
      </w:r>
      <w:r>
        <w:t xml:space="preserve">float(renewable_energy_usage.replace(\'%\', \'\')),</w:t>
      </w:r>
      <w:r>
        <w:t xml:space="preserve"> </w:t>
      </w:r>
      <w:r>
        <w:t xml:space="preserve">production_energy_emissions,</w:t>
      </w:r>
      <w:r>
        <w:t xml:space="preserve"> </w:t>
      </w:r>
      <w:r>
        <w:t xml:space="preserve">total_transport_emissions</w:t>
      </w:r>
      <w:r>
        <w:t xml:space="preserve"> </w:t>
      </w:r>
      <w:r>
        <w:t xml:space="preserve">)</w:t>
      </w:r>
      <w:r>
        <w:t xml:space="preserve"> </w:t>
      </w:r>
      <w:r>
        <w:t xml:space="preserve">print(html_output)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jkvtuldxvf</dc:title>
  <dc:creator/>
  <dc:description>Detailed Product Carbon Footprint (PCF) analysis report for jkvtuldxvf, conducted by qjpwdxknvm for pwsstyqrgq, adhering to GHG Protocol standards and 2026 LSR updates.</dc:description>
  <dc:language>en</dc:language>
  <cp:keywords/>
  <dcterms:created xsi:type="dcterms:W3CDTF">2026-07-15T09:31:44Z</dcterms:created>
  <dcterms:modified xsi:type="dcterms:W3CDTF">2026-07-15T09:31:44Z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