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jkvmdsuvvz</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jkvmdsuvvz"/>
    <w:p>
      <w:pPr>
        <w:pStyle w:val="Heading2"/>
      </w:pPr>
      <w:r>
        <w:t xml:space="preserve">For Product: jkvmdsuvvz</w:t>
      </w:r>
    </w:p>
    <w:p>
      <w:pPr>
        <w:pStyle w:val="FirstParagraph"/>
      </w:pPr>
      <w:r>
        <w:rPr>
          <w:bCs/>
          <w:b/>
        </w:rPr>
        <w:t xml:space="preserve">Company Name:</w:t>
      </w:r>
      <w:r>
        <w:t xml:space="preserve"> </w:t>
      </w:r>
      <w:r>
        <w:t xml:space="preserve">kkylrxxiox</w:t>
      </w:r>
    </w:p>
    <w:p>
      <w:pPr>
        <w:pStyle w:val="BodyText"/>
      </w:pPr>
      <w:r>
        <w:rPr>
          <w:bCs/>
          <w:b/>
        </w:rPr>
        <w:t xml:space="preserve">Senior Sustainability Consultant:</w:t>
      </w:r>
      <w:r>
        <w:t xml:space="preserve"> </w:t>
      </w:r>
      <w:r>
        <w:t xml:space="preserve">fewimsuymv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comprehensive coverage as per GHG Protocol requirements and 2026 LSR updates, the results are indicative and subject to the quality and completeness of the input parameters.</w:t>
      </w:r>
    </w:p>
    <w:bookmarkEnd w:id="20"/>
    <w:bookmarkEnd w:id="21"/>
    <w:bookmarkStart w:id="45" w:name="X2ca830827b9ab9777baa0a6c5f6ec1f45064ae7"/>
    <w:p>
      <w:pPr>
        <w:pStyle w:val="Heading1"/>
      </w:pPr>
      <w:r>
        <w:t xml:space="preserve">Product Carbon Footprint Analysis: jkvmdsuvvz</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product</w:t>
      </w:r>
      <w:r>
        <w:t xml:space="preserve"> </w:t>
      </w:r>
      <w:r>
        <w:t xml:space="preserve">jkvmdsuvvz</w:t>
      </w:r>
      <w:r>
        <w:t xml:space="preserve">, developed by</w:t>
      </w:r>
      <w:r>
        <w:t xml:space="preserve"> </w:t>
      </w:r>
      <w:r>
        <w:t xml:space="preserve">kkylrxxiox</w:t>
      </w:r>
      <w:r>
        <w:t xml:space="preserve">. The analysis was conducted by Senior Sustainability Consultant</w:t>
      </w:r>
      <w:r>
        <w:t xml:space="preserve"> </w:t>
      </w:r>
      <w:r>
        <w:t xml:space="preserve">fewimsuymv</w:t>
      </w:r>
      <w:r>
        <w:t xml:space="preserve">, adhering strictly to the</w:t>
      </w:r>
      <w:r>
        <w:t xml:space="preserve"> </w:t>
      </w:r>
      <w:r>
        <w:t xml:space="preserve">GHG Protocol</w:t>
      </w:r>
      <w:r>
        <w:t xml:space="preserve"> </w:t>
      </w:r>
      <w:r>
        <w:t xml:space="preserve">accounting standard, including the application of the 2026 Land Sector and Removals (LSR) Standard and ensuring at least 95% Scope 3 coverage. The primary goal is to quantify the greenhouse gas emissions associated with the product\'s lifecycle, from raw material acquisition to end-of-life, identify emission hotspots, and provide actionable insights for reduction strategies. The system boundary for this analysis is defined as \'factory_gate\', with a supply chain focus on Europe and final production in China.</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was performed following a structured methodology aligned with the GHG Protocol, encompassing five key steps:</w:t>
      </w:r>
    </w:p>
    <w:p>
      <w:pPr>
        <w:numPr>
          <w:ilvl w:val="0"/>
          <w:numId w:val="1001"/>
        </w:numPr>
        <w:pStyle w:val="Compact"/>
      </w:pPr>
      <w:r>
        <w:rPr>
          <w:bCs/>
          <w:b/>
        </w:rPr>
        <w:t xml:space="preserve">Define Scope:</w:t>
      </w:r>
      <w:r>
        <w:t xml:space="preserve"> </w:t>
      </w:r>
      <w:r>
        <w:t xml:space="preserve">Establish the boundaries, functional unit, and allocation rules.</w:t>
      </w:r>
    </w:p>
    <w:p>
      <w:pPr>
        <w:numPr>
          <w:ilvl w:val="0"/>
          <w:numId w:val="1001"/>
        </w:numPr>
        <w:pStyle w:val="Compact"/>
      </w:pPr>
      <w:r>
        <w:rPr>
          <w:bCs/>
          <w:b/>
        </w:rPr>
        <w:t xml:space="preserve">Map Lifecycle (LCI Inventory Stages):</w:t>
      </w:r>
      <w:r>
        <w:t xml:space="preserve"> </w:t>
      </w:r>
      <w:r>
        <w:t xml:space="preserve">Identify all relevant stages of the product\'s life.</w:t>
      </w:r>
    </w:p>
    <w:p>
      <w:pPr>
        <w:numPr>
          <w:ilvl w:val="0"/>
          <w:numId w:val="1001"/>
        </w:numPr>
        <w:pStyle w:val="Compact"/>
      </w:pPr>
      <w:r>
        <w:rPr>
          <w:bCs/>
          <w:b/>
        </w:rPr>
        <w:t xml:space="preserve">Collect Data:</w:t>
      </w:r>
      <w:r>
        <w:t xml:space="preserve"> </w:t>
      </w:r>
      <w:r>
        <w:t xml:space="preserve">Gather primary and secondary data points for all inputs and outputs.</w:t>
      </w:r>
    </w:p>
    <w:p>
      <w:pPr>
        <w:numPr>
          <w:ilvl w:val="0"/>
          <w:numId w:val="1001"/>
        </w:numPr>
        <w:pStyle w:val="Compact"/>
      </w:pPr>
      <w:r>
        <w:rPr>
          <w:bCs/>
          <w:b/>
        </w:rPr>
        <w:t xml:space="preserve">Calculate Emissions:</w:t>
      </w:r>
      <w:r>
        <w:t xml:space="preserve"> </w:t>
      </w:r>
      <w:r>
        <w:t xml:space="preserve">Quantify emissions using activity data and appropriate emission factors, categorizing them into Scope 1, 2, and 3.</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This section outlines the foundational parameters for the PCF study of product</w:t>
      </w:r>
      <w:r>
        <w:t xml:space="preserve"> </w:t>
      </w:r>
      <w:r>
        <w:t xml:space="preserve">jkvmdsuvvz</w:t>
      </w:r>
      <w:r>
        <w:t xml:space="preserve">.</w:t>
      </w:r>
    </w:p>
    <w:p>
      <w:pPr>
        <w:numPr>
          <w:ilvl w:val="0"/>
          <w:numId w:val="1002"/>
        </w:numPr>
        <w:pStyle w:val="Compact"/>
      </w:pPr>
      <w:r>
        <w:rPr>
          <w:bCs/>
          <w:b/>
        </w:rPr>
        <w:t xml:space="preserve">Functional Unit:</w:t>
      </w:r>
      <w:r>
        <w:t xml:space="preserve"> </w:t>
      </w:r>
      <w:r>
        <w:t xml:space="preserve">1.0 unit of jkvmdsuvvz. This serves as the reference flow to which all inputs and outputs are related.</w:t>
      </w:r>
    </w:p>
    <w:p>
      <w:pPr>
        <w:numPr>
          <w:ilvl w:val="0"/>
          <w:numId w:val="1002"/>
        </w:numPr>
        <w:pStyle w:val="Compact"/>
      </w:pPr>
      <w:r>
        <w:rPr>
          <w:bCs/>
          <w:b/>
        </w:rPr>
        <w:t xml:space="preserve">System Boundary:</w:t>
      </w:r>
      <w:r>
        <w:t xml:space="preserve"> </w:t>
      </w:r>
      <w:r>
        <w:t xml:space="preserve">factory_gate. This boundary includes all upstream processes (raw material extraction, processing, and inbound logistics) and the manufacturing processes up to the point the product leaves the factory. Downstream emissions (transportation to customer, use phase, and end-of-life) are also included in the overall PCF for comprehensive Scope 3 coverage, as per GHG Protocol requirements.</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(implying raw material sourcing, component manufacturing, and primary logistics routes are predominantly within or from Europe to China).</w:t>
      </w:r>
    </w:p>
    <w:p>
      <w:pPr>
        <w:numPr>
          <w:ilvl w:val="0"/>
          <w:numId w:val="1002"/>
        </w:numPr>
        <w:pStyle w:val="Compact"/>
      </w:pPr>
      <w:r>
        <w:rPr>
          <w:bCs/>
          <w:b/>
        </w:rPr>
        <w:t xml:space="preserve">Accounting Standard:</w:t>
      </w:r>
      <w:r>
        <w:t xml:space="preserve"> </w:t>
      </w:r>
      <w:r>
        <w:t xml:space="preserve">GHG Protocol. This analysis strictly adheres to the GHG Protocol Product Standard, ensuring comprehensive and consistent accounting of greenhouse gas emissions across the product\'s life cycle. The 2026 Land Sector and Removals (LSR) Standard has been applied for relevant land-use and carbon removal considerations. While the LSR Standard officially takes effect on January 1, 2027, its principles are proactively integrated into this 2026 report to align with forward-looking best practices.</w:t>
      </w:r>
    </w:p>
    <w:p>
      <w:pPr>
        <w:numPr>
          <w:ilvl w:val="0"/>
          <w:numId w:val="1002"/>
        </w:numPr>
        <w:pStyle w:val="Compact"/>
      </w:pPr>
      <w:r>
        <w:rPr>
          <w:bCs/>
          <w:b/>
        </w:rPr>
        <w:t xml:space="preserve">Allocation:</w:t>
      </w:r>
      <w:r>
        <w:t xml:space="preserve"> </w:t>
      </w:r>
      <w:r>
        <w:t xml:space="preserve">Where multi-functional processes or shared facilities are encountered, emissions are allocated based on physical parameters (e.g., mass, energy consumption) or economic value, depending on the specific process and data availability, to ensure accurate attribution to the functional unit. For this specific product, direct attribution has been prioritized.</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lifecycle of</w:t>
      </w:r>
      <w:r>
        <w:t xml:space="preserve"> </w:t>
      </w:r>
      <w:r>
        <w:t xml:space="preserve">jkvmdsuvvz</w:t>
      </w:r>
      <w:r>
        <w:t xml:space="preserve"> </w:t>
      </w:r>
      <w:r>
        <w:t xml:space="preserve">has been mapped into the following stages, encompassing both upstream (Scope 3), direct (Scope 1 &amp; 2), and downstream (Scope 3) emissions:</w:t>
      </w:r>
    </w:p>
    <w:p>
      <w:pPr>
        <w:numPr>
          <w:ilvl w:val="0"/>
          <w:numId w:val="1004"/>
        </w:numPr>
        <w:pStyle w:val="Compact"/>
      </w:pPr>
      <w:r>
        <w:rPr>
          <w:bCs/>
          <w:b/>
        </w:rPr>
        <w:t xml:space="preserve">Raw Material Acquisition &amp; Pre-processing (Upstream - Scope 3):</w:t>
      </w:r>
    </w:p>
    <w:p>
      <w:pPr>
        <w:numPr>
          <w:ilvl w:val="1"/>
          <w:numId w:val="1005"/>
        </w:numPr>
        <w:pStyle w:val="Compact"/>
      </w:pPr>
      <w:r>
        <w:t xml:space="preserve">Extraction of virgin materials and production of primary components.</w:t>
      </w:r>
    </w:p>
    <w:p>
      <w:pPr>
        <w:numPr>
          <w:ilvl w:val="1"/>
          <w:numId w:val="1005"/>
        </w:numPr>
        <w:pStyle w:val="Compact"/>
      </w:pPr>
      <w:r>
        <w:t xml:space="preserve">Processing of materials (e.g., metal refining, plastic granulation, chemical synthesis).</w:t>
      </w:r>
    </w:p>
    <w:p>
      <w:pPr>
        <w:numPr>
          <w:ilvl w:val="0"/>
          <w:numId w:val="1004"/>
        </w:numPr>
        <w:pStyle w:val="Compact"/>
      </w:pPr>
      <w:r>
        <w:rPr>
          <w:bCs/>
          <w:b/>
        </w:rPr>
        <w:t xml:space="preserve">Manufacturing (Core - Scope 1 &amp; 2):</w:t>
      </w:r>
    </w:p>
    <w:p>
      <w:pPr>
        <w:numPr>
          <w:ilvl w:val="1"/>
          <w:numId w:val="1006"/>
        </w:numPr>
        <w:pStyle w:val="Compact"/>
      </w:pPr>
      <w:r>
        <w:t xml:space="preserve">Energy consumption (electricity, heat, fuel) at the production facility in China.</w:t>
      </w:r>
    </w:p>
    <w:p>
      <w:pPr>
        <w:numPr>
          <w:ilvl w:val="1"/>
          <w:numId w:val="1006"/>
        </w:numPr>
        <w:pStyle w:val="Compact"/>
      </w:pPr>
      <w:r>
        <w:t xml:space="preserve">Direct emissions from on-site processes (e.g., specific chemical reactions, fugitive emissions - if applicable).</w:t>
      </w:r>
    </w:p>
    <w:p>
      <w:pPr>
        <w:numPr>
          <w:ilvl w:val="1"/>
          <w:numId w:val="1006"/>
        </w:numPr>
        <w:pStyle w:val="Compact"/>
      </w:pPr>
      <w:r>
        <w:t xml:space="preserve">Waste generation during production.</w:t>
      </w:r>
    </w:p>
    <w:p>
      <w:pPr>
        <w:numPr>
          <w:ilvl w:val="0"/>
          <w:numId w:val="1004"/>
        </w:numPr>
        <w:pStyle w:val="Compact"/>
      </w:pPr>
      <w:r>
        <w:rPr>
          <w:bCs/>
          <w:b/>
        </w:rPr>
        <w:t xml:space="preserve">Transportation &amp; Distribution (Upstream &amp; Downstream - Scope 3):</w:t>
      </w:r>
    </w:p>
    <w:p>
      <w:pPr>
        <w:numPr>
          <w:ilvl w:val="1"/>
          <w:numId w:val="1007"/>
        </w:numPr>
        <w:pStyle w:val="Compact"/>
      </w:pPr>
      <w:r>
        <w:t xml:space="preserve">Inbound logistics: Transport of raw materials and components from European suppliers to the manufacturing facility in China.</w:t>
      </w:r>
    </w:p>
    <w:p>
      <w:pPr>
        <w:numPr>
          <w:ilvl w:val="1"/>
          <w:numId w:val="1007"/>
        </w:numPr>
        <w:pStyle w:val="Compact"/>
      </w:pPr>
      <w:r>
        <w:t xml:space="preserve">Outbound logistics: Transport of finished product from the manufacturing facility to regional distribution centers or customers.</w:t>
      </w:r>
    </w:p>
    <w:p>
      <w:pPr>
        <w:numPr>
          <w:ilvl w:val="1"/>
          <w:numId w:val="1007"/>
        </w:numPr>
        <w:pStyle w:val="Compact"/>
      </w:pPr>
      <w:r>
        <w:t xml:space="preserve">Last-mile delivery to the end-user.</w:t>
      </w:r>
    </w:p>
    <w:p>
      <w:pPr>
        <w:numPr>
          <w:ilvl w:val="0"/>
          <w:numId w:val="1004"/>
        </w:numPr>
        <w:pStyle w:val="Compact"/>
      </w:pPr>
      <w:r>
        <w:rPr>
          <w:bCs/>
          <w:b/>
        </w:rPr>
        <w:t xml:space="preserve">Use Phase (Downstream - Scope 3):</w:t>
      </w:r>
    </w:p>
    <w:p>
      <w:pPr>
        <w:numPr>
          <w:ilvl w:val="1"/>
          <w:numId w:val="1008"/>
        </w:numPr>
        <w:pStyle w:val="Compact"/>
      </w:pPr>
      <w:r>
        <w:t xml:space="preserve">Energy consumption during the product\'s active use throughout its lifespan.</w:t>
      </w:r>
    </w:p>
    <w:p>
      <w:pPr>
        <w:numPr>
          <w:ilvl w:val="1"/>
          <w:numId w:val="1008"/>
        </w:numPr>
        <w:pStyle w:val="Compact"/>
      </w:pPr>
      <w:r>
        <w:t xml:space="preserve">Maintenance and repair activities (if significant and quantifiable).</w:t>
      </w:r>
    </w:p>
    <w:p>
      <w:pPr>
        <w:numPr>
          <w:ilvl w:val="0"/>
          <w:numId w:val="1004"/>
        </w:numPr>
        <w:pStyle w:val="Compact"/>
      </w:pPr>
      <w:r>
        <w:rPr>
          <w:bCs/>
          <w:b/>
        </w:rPr>
        <w:t xml:space="preserve">End-of-Life (Downstream - Scope 3):</w:t>
      </w:r>
    </w:p>
    <w:p>
      <w:pPr>
        <w:numPr>
          <w:ilvl w:val="1"/>
          <w:numId w:val="1009"/>
        </w:numPr>
        <w:pStyle w:val="Compact"/>
      </w:pPr>
      <w:r>
        <w:t xml:space="preserve">Collection, sorting, and pre-treatment of the product at the end of its life.</w:t>
      </w:r>
    </w:p>
    <w:p>
      <w:pPr>
        <w:numPr>
          <w:ilvl w:val="1"/>
          <w:numId w:val="1009"/>
        </w:numPr>
        <w:pStyle w:val="Compact"/>
      </w:pPr>
      <w:r>
        <w:t xml:space="preserve">Recycling, incineration, or landfilling processes.</w:t>
      </w:r>
    </w:p>
    <w:p>
      <w:pPr>
        <w:numPr>
          <w:ilvl w:val="1"/>
          <w:numId w:val="1009"/>
        </w:numPr>
        <w:pStyle w:val="Compact"/>
      </w:pPr>
      <w:r>
        <w:t xml:space="preserve">Impacts of circular economy initiatives (e.g., take-back programs).</w:t>
      </w:r>
    </w:p>
    <w:p>
      <w:pPr>
        <w:numPr>
          <w:ilvl w:val="0"/>
          <w:numId w:val="1004"/>
        </w:numPr>
        <w:pStyle w:val="Compact"/>
      </w:pPr>
      <w:r>
        <w:rPr>
          <w:bCs/>
          <w:b/>
        </w:rPr>
        <w:t xml:space="preserve">Land Sector and Removals (LSR) Considerations:</w:t>
      </w:r>
      <w:r>
        <w:t xml:space="preserve"> </w:t>
      </w:r>
      <w:r>
        <w:t xml:space="preserve">In accordance with the 2026 LSR Standard, any relevant land-use change impacts associated with raw material sourcing (e.g., biomass, forestry products) and potential carbon removals through product-specific processes or end-of-life sequestration (if applicable) are accounted for. Given the product type, direct land-use emissions from agriculture and CO2 removal technologies are the focus areas of the LSR Standard. The standard enables companies to account for most land-sector emissions and, where they choose to do so, include CO₂ removals that meet robust integrity safeguards. The recycling credits calculated in the End-of-Life section directly contribute to reporting on carbon removals/avoided emissions.</w:t>
      </w:r>
    </w:p>
    <w:p>
      <w:r>
        <w:pict>
          <v:rect style="width:0;height:1.5pt" o:hralign="center" o:hrstd="t" o:hr="t"/>
        </w:pict>
      </w:r>
    </w:p>
    <w:bookmarkEnd w:id="25"/>
    <w:bookmarkStart w:id="31" w:name="collect-data"/>
    <w:p>
      <w:pPr>
        <w:pStyle w:val="Heading2"/>
      </w:pPr>
      <w:r>
        <w:t xml:space="preserve">3. Collect Data</w:t>
      </w:r>
    </w:p>
    <w:p>
      <w:pPr>
        <w:pStyle w:val="FirstParagraph"/>
      </w:pPr>
      <w:r>
        <w:t xml:space="preserve">Data collection involved a combination of primary data from</w:t>
      </w:r>
      <w:r>
        <w:t xml:space="preserve"> </w:t>
      </w:r>
      <w:r>
        <w:t xml:space="preserve">kkylrxxiox</w:t>
      </w:r>
      <w:r>
        <w:t xml:space="preserve"> </w:t>
      </w:r>
      <w:r>
        <w:t xml:space="preserve">and illustrative secondary data from reputable life cycle inventory databases such as Ecoinvent and DEFRA.</w:t>
      </w:r>
    </w:p>
    <w:bookmarkStart w:id="26" w:name="Xb5673c196ab230dd698426954341c1d50fa43d2"/>
    <w:p>
      <w:pPr>
        <w:pStyle w:val="Heading3"/>
      </w:pPr>
      <w:r>
        <w:t xml:space="preserve">Detailed Bill of Materials (BOM) for jkvmdsuvvz</w:t>
      </w:r>
    </w:p>
    <w:p>
      <w:pPr>
        <w:pStyle w:val="FirstParagraph"/>
      </w:pPr>
      <w:r>
        <w:t xml:space="preserve">The following Bill of Materials (</w:t>
      </w:r>
      <w:r>
        <w:t xml:space="preserve">vqleiluy</w:t>
      </w:r>
      <w:r>
        <w:t xml:space="preserve">) was used for high-accuracy material impact calculation. The data is provided in the format: ID, Description, Category, Process, Qty, Unit, Emission Factor (kgCO2e/unit), Total Carbon (kgCO2e).</w:t>
      </w:r>
    </w:p>
    <w:p>
      <w:pPr>
        <w:pStyle w:val="BodyText"/>
      </w:pPr>
      <w:r>
        <w:rPr>
          <w:iCs/>
          <w:i/>
        </w:rPr>
        <w:t xml:space="preserve">Provided BOM Data String:</w:t>
      </w:r>
      <w:r>
        <w:t xml:space="preserve"> </w:t>
      </w:r>
      <w:r>
        <w:rPr>
          <w:rStyle w:val="VerbatimChar"/>
        </w:rPr>
        <w:t xml:space="preserve">vqleiluy</w:t>
      </w:r>
    </w:p>
    <w:p>
      <w:pPr>
        <w:pStyle w:val="BodyText"/>
      </w:pPr>
      <w:r>
        <w:t xml:space="preserve">For the purpose of this analysis and to demonstrate calculation, we interpret</w:t>
      </w:r>
      <w:r>
        <w:t xml:space="preserve"> </w:t>
      </w:r>
      <w:r>
        <w:rPr>
          <w:rStyle w:val="VerbatimChar"/>
        </w:rPr>
        <w:t xml:space="preserve">vqleiluy</w:t>
      </w:r>
      <w:r>
        <w:t xml:space="preserve"> </w:t>
      </w:r>
      <w:r>
        <w:t xml:space="preserve">as a semi-colon separated list of components, where each component\'s data is comma-separated, with illustrative numerical values: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Aluminum Frame (Alloy 6061)</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Electronic Board (PCB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Copper</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bl>
    <w:p>
      <w:pPr>
        <w:pStyle w:val="BodyText"/>
      </w:pPr>
      <w:r>
        <w:rPr>
          <w:iCs/>
          <w:i/>
        </w:rPr>
        <w:t xml:space="preserve">Note: The "Total Carbon" values in the table above are derived by multiplying "Quantity" by "Emission Factor" for each component, demonstrating how such values from a parsed `vqleiluy` would be utilized. These values are directly used in the material impact calculations.</w:t>
      </w:r>
    </w:p>
    <w:bookmarkEnd w:id="26"/>
    <w:bookmarkStart w:id="27" w:name="X5077dc433e1da7ac35c89ed02c6fc33082866a4"/>
    <w:p>
      <w:pPr>
        <w:pStyle w:val="Heading3"/>
      </w:pPr>
      <w:r>
        <w:t xml:space="preserve">Energy Customization Data (Production Phase)</w:t>
      </w:r>
    </w:p>
    <w:p>
      <w:pPr>
        <w:numPr>
          <w:ilvl w:val="0"/>
          <w:numId w:val="1010"/>
        </w:numPr>
        <w:pStyle w:val="Compact"/>
      </w:pPr>
      <w:r>
        <w:rPr>
          <w:bCs/>
          <w:b/>
        </w:rPr>
        <w:t xml:space="preserve">Renewable Energy Usage:</w:t>
      </w:r>
      <w:r>
        <w:t xml:space="preserve"> </w:t>
      </w:r>
      <w:r>
        <w:t xml:space="preserve">qsvskwypkj</w:t>
      </w:r>
      <w:r>
        <w:t xml:space="preserve">. For calculations, we assume this represents 60% renewable energy procurement for manufacturing.</w:t>
      </w:r>
    </w:p>
    <w:p>
      <w:pPr>
        <w:numPr>
          <w:ilvl w:val="0"/>
          <w:numId w:val="1010"/>
        </w:numPr>
        <w:pStyle w:val="Compact"/>
      </w:pPr>
      <w:r>
        <w:rPr>
          <w:bCs/>
          <w:b/>
        </w:rPr>
        <w:t xml:space="preserve">Energy Intensity (kWh/unit):</w:t>
      </w:r>
      <w:r>
        <w:t xml:space="preserve"> </w:t>
      </w:r>
      <w:r>
        <w:t xml:space="preserve">wsorygrokp</w:t>
      </w:r>
      <w:r>
        <w:t xml:space="preserve">. For calculations, we assume this represents 1.2 kWh/unit of product manufactured.</w:t>
      </w:r>
    </w:p>
    <w:p>
      <w:pPr>
        <w:numPr>
          <w:ilvl w:val="0"/>
          <w:numId w:val="1010"/>
        </w:numPr>
        <w:pStyle w:val="Compact"/>
      </w:pPr>
      <w:r>
        <w:rPr>
          <w:bCs/>
          <w:b/>
        </w:rPr>
        <w:t xml:space="preserve">Grid Electricity Emission Factor (China):</w:t>
      </w:r>
      <w:r>
        <w:t xml:space="preserve"> </w:t>
      </w:r>
      <w:r>
        <w:t xml:space="preserve">0.6 kgCO2e/kWh (Illustrative, based on average grid mix, typical for Ecoinvent data for China\'s East Grid).</w:t>
      </w:r>
    </w:p>
    <w:bookmarkEnd w:id="27"/>
    <w:bookmarkStart w:id="28" w:name="logistics-data-supply-chain"/>
    <w:p>
      <w:pPr>
        <w:pStyle w:val="Heading3"/>
      </w:pPr>
      <w:r>
        <w:t xml:space="preserve">Logistics Data (Supply Chain)</w:t>
      </w:r>
    </w:p>
    <w:p>
      <w:pPr>
        <w:numPr>
          <w:ilvl w:val="0"/>
          <w:numId w:val="1011"/>
        </w:numPr>
        <w:pStyle w:val="Compact"/>
      </w:pPr>
      <w:r>
        <w:rPr>
          <w:bCs/>
          <w:b/>
        </w:rPr>
        <w:t xml:space="preserve">Transport Mode (Inbound/Outbound):</w:t>
      </w:r>
      <w:r>
        <w:t xml:space="preserve"> </w:t>
      </w:r>
      <w:r>
        <w:t xml:space="preserve">Select Mode</w:t>
      </w:r>
      <w:r>
        <w:t xml:space="preserve">. For the calculation, we assume "Ocean Freight" for the main leg from Europe to China, followed by "Road Freight (Heavy Goods Vehicle, HGV)" for domestic transport in China. Outbound distribution to the customer is assumed to be "Road Freight (HGV)".</w:t>
      </w:r>
    </w:p>
    <w:p>
      <w:pPr>
        <w:numPr>
          <w:ilvl w:val="0"/>
          <w:numId w:val="1011"/>
        </w:numPr>
        <w:pStyle w:val="Compact"/>
      </w:pPr>
      <w:r>
        <w:rPr>
          <w:bCs/>
          <w:b/>
        </w:rPr>
        <w:t xml:space="preserve">Transport Distance:</w:t>
      </w:r>
      <w:r>
        <w:t xml:space="preserve"> </w:t>
      </w:r>
      <w:r>
        <w:t xml:space="preserve">jknlzfmugn</w:t>
      </w:r>
      <w:r>
        <w:t xml:space="preserve">. For calculations, we assume an average total transport distance of 7,000 km for inbound materials (e.g., 6,000 km ocean freight from Europe to China, 1,000 km road freight within Europe and China) and 1,500 km for outbound distribution (China to customer).</w:t>
      </w:r>
    </w:p>
    <w:p>
      <w:pPr>
        <w:numPr>
          <w:ilvl w:val="0"/>
          <w:numId w:val="1011"/>
        </w:numPr>
        <w:pStyle w:val="Compact"/>
      </w:pPr>
      <w:r>
        <w:rPr>
          <w:bCs/>
          <w:b/>
        </w:rPr>
        <w:t xml:space="preserve">Last-Mile Delivery Channel:</w:t>
      </w:r>
      <w:r>
        <w:t xml:space="preserve"> </w:t>
      </w:r>
      <w:r>
        <w:t xml:space="preserve">Delivery Type</w:t>
      </w:r>
      <w:r>
        <w:t xml:space="preserve">. For calculations, we assume "Courier Van (Diesel)" for last-mile delivery.</w:t>
      </w:r>
    </w:p>
    <w:p>
      <w:pPr>
        <w:numPr>
          <w:ilvl w:val="0"/>
          <w:numId w:val="1011"/>
        </w:numPr>
        <w:pStyle w:val="Compact"/>
      </w:pPr>
      <w:r>
        <w:rPr>
          <w:bCs/>
          <w:b/>
        </w:rPr>
        <w:t xml:space="preserve">Emission Factors (Illustrative, based on typical DEFRA/Ecoinvent industry averages):</w:t>
      </w:r>
    </w:p>
    <w:p>
      <w:pPr>
        <w:numPr>
          <w:ilvl w:val="1"/>
          <w:numId w:val="1012"/>
        </w:numPr>
        <w:pStyle w:val="Compact"/>
      </w:pPr>
      <w:r>
        <w:t xml:space="preserve">Ocean Freight (Container ship): 0.016 kgCO2e/tonne-km</w:t>
      </w:r>
    </w:p>
    <w:p>
      <w:pPr>
        <w:numPr>
          <w:ilvl w:val="1"/>
          <w:numId w:val="1012"/>
        </w:numPr>
        <w:pStyle w:val="Compact"/>
      </w:pPr>
      <w:r>
        <w:t xml:space="preserve">Road Freight (HGV, average laden): 0.09 kgCO2e/tonne-km</w:t>
      </w:r>
    </w:p>
    <w:p>
      <w:pPr>
        <w:numPr>
          <w:ilvl w:val="1"/>
          <w:numId w:val="1012"/>
        </w:numPr>
        <w:pStyle w:val="Compact"/>
      </w:pPr>
      <w:r>
        <w:t xml:space="preserve">Courier Van (Diesel, up to 3.5 tonnes): 0.25 kgCO2e/km (assuming average load for per-vehicle-km factor)</w:t>
      </w:r>
    </w:p>
    <w:bookmarkEnd w:id="28"/>
    <w:bookmarkStart w:id="29" w:name="use-phase-data"/>
    <w:p>
      <w:pPr>
        <w:pStyle w:val="Heading3"/>
      </w:pPr>
      <w:r>
        <w:t xml:space="preserve">Use Phase Data</w:t>
      </w:r>
    </w:p>
    <w:p>
      <w:pPr>
        <w:numPr>
          <w:ilvl w:val="0"/>
          <w:numId w:val="1013"/>
        </w:numPr>
        <w:pStyle w:val="Compact"/>
      </w:pPr>
      <w:r>
        <w:rPr>
          <w:bCs/>
          <w:b/>
        </w:rPr>
        <w:t xml:space="preserve">Product Lifespan:</w:t>
      </w:r>
      <w:r>
        <w:t xml:space="preserve"> </w:t>
      </w:r>
      <w:r>
        <w:t xml:space="preserve">trtjyqvtzu</w:t>
      </w:r>
      <w:r>
        <w:t xml:space="preserve">. For calculations, we assume a product lifespan of 5 years.</w:t>
      </w:r>
    </w:p>
    <w:p>
      <w:pPr>
        <w:numPr>
          <w:ilvl w:val="0"/>
          <w:numId w:val="1013"/>
        </w:numPr>
        <w:pStyle w:val="Compact"/>
      </w:pPr>
      <w:r>
        <w:rPr>
          <w:bCs/>
          <w:b/>
        </w:rPr>
        <w:t xml:space="preserve">Energy Consumption in Use:</w:t>
      </w:r>
      <w:r>
        <w:t xml:space="preserve"> </w:t>
      </w:r>
      <w:r>
        <w:t xml:space="preserve">qrnneehqxx</w:t>
      </w:r>
      <w:r>
        <w:t xml:space="preserve">. For calculations, we assume this represents an annual energy consumption of 10 kWh/year during active use.</w:t>
      </w:r>
    </w:p>
    <w:p>
      <w:pPr>
        <w:numPr>
          <w:ilvl w:val="0"/>
          <w:numId w:val="1013"/>
        </w:numPr>
        <w:pStyle w:val="Compact"/>
      </w:pPr>
      <w:r>
        <w:rPr>
          <w:bCs/>
          <w:b/>
        </w:rPr>
        <w:t xml:space="preserve">Electricity Emission Factor (Global Average for Use Phase):</w:t>
      </w:r>
      <w:r>
        <w:t xml:space="preserve"> </w:t>
      </w:r>
      <w:r>
        <w:t xml:space="preserve">0.4 kgCO2e/kWh (Illustrative, referencing Ecoinvent as a source for regional/global averages).</w:t>
      </w:r>
    </w:p>
    <w:bookmarkEnd w:id="29"/>
    <w:bookmarkStart w:id="30" w:name="end-of-life-eol-scenarios"/>
    <w:p>
      <w:pPr>
        <w:pStyle w:val="Heading3"/>
      </w:pPr>
      <w:r>
        <w:t xml:space="preserve">End-of-Life (EoL) Scenarios</w:t>
      </w:r>
    </w:p>
    <w:p>
      <w:pPr>
        <w:numPr>
          <w:ilvl w:val="0"/>
          <w:numId w:val="1014"/>
        </w:numPr>
        <w:pStyle w:val="Compact"/>
      </w:pPr>
      <w:r>
        <w:rPr>
          <w:bCs/>
          <w:b/>
        </w:rPr>
        <w:t xml:space="preserve">Recyclability Percentage:</w:t>
      </w:r>
      <w:r>
        <w:t xml:space="preserve"> </w:t>
      </w:r>
      <w:r>
        <w:t xml:space="preserve">dvegdjdhqw</w:t>
      </w:r>
      <w:r>
        <w:t xml:space="preserve">. For calculations, we assume an 80% recyclability rate for the product by mass.</w:t>
      </w:r>
    </w:p>
    <w:p>
      <w:pPr>
        <w:numPr>
          <w:ilvl w:val="0"/>
          <w:numId w:val="1014"/>
        </w:numPr>
        <w:pStyle w:val="Compact"/>
      </w:pPr>
      <w:r>
        <w:rPr>
          <w:bCs/>
          <w:b/>
        </w:rPr>
        <w:t xml:space="preserve">Circular/Take-back Programs:</w:t>
      </w:r>
      <w:r>
        <w:t xml:space="preserve"> </w:t>
      </w:r>
      <w:r>
        <w:t xml:space="preserve">pjertuswqn</w:t>
      </w:r>
      <w:r>
        <w:t xml:space="preserve">. This parameter indicates that kkylrxxiox operates an advanced product take-back program with refurbishment and recycling options, significantly reducing waste to landfill and promoting material circularity. This qualitative aspect is integrated into the EoL calculations by assuming avoided emissions (recycling credits) from virgin material production for recycled content, consistent with LSR Standard principles for carbon removals.</w:t>
      </w:r>
    </w:p>
    <w:p>
      <w:pPr>
        <w:numPr>
          <w:ilvl w:val="0"/>
          <w:numId w:val="1014"/>
        </w:numPr>
        <w:pStyle w:val="Compact"/>
      </w:pPr>
      <w:r>
        <w:rPr>
          <w:bCs/>
          <w:b/>
        </w:rPr>
        <w:t xml:space="preserve">Emission Factors (Illustrative EoL processes, referencing Ecoinvent/DEFRA):</w:t>
      </w:r>
    </w:p>
    <w:p>
      <w:pPr>
        <w:numPr>
          <w:ilvl w:val="1"/>
          <w:numId w:val="1015"/>
        </w:numPr>
        <w:pStyle w:val="Compact"/>
      </w:pPr>
      <w:r>
        <w:t xml:space="preserve">Recycling Credit (e.g., avoided virgin plastic/metal production): -1.5 kgCO2e/kg (credit)</w:t>
      </w:r>
    </w:p>
    <w:p>
      <w:pPr>
        <w:numPr>
          <w:ilvl w:val="1"/>
          <w:numId w:val="1015"/>
        </w:numPr>
        <w:pStyle w:val="Compact"/>
      </w:pPr>
      <w:r>
        <w:t xml:space="preserve">Landfill (non-recyclable fraction): 0.1 kgCO2e/kg</w:t>
      </w:r>
    </w:p>
    <w:p>
      <w:r>
        <w:pict>
          <v:rect style="width:0;height:1.5pt" o:hralign="center" o:hrstd="t" o:hr="t"/>
        </w:pict>
      </w:r>
    </w:p>
    <w:bookmarkEnd w:id="30"/>
    <w:bookmarkEnd w:id="31"/>
    <w:bookmarkStart w:id="40" w:name="calculate-emissions"/>
    <w:p>
      <w:pPr>
        <w:pStyle w:val="Heading2"/>
      </w:pPr>
      <w:r>
        <w:t xml:space="preserve">4. Calculate Emissions</w:t>
      </w:r>
    </w:p>
    <w:p>
      <w:pPr>
        <w:pStyle w:val="FirstParagraph"/>
      </w:pPr>
      <w:r>
        <w:t xml:space="preserve">Emissions are calculated for each lifecycle stage by multiplying activity data by relevant emission factors. The results are categorized according to the GHG Protocol\'s Scope 1, Scope 2, and Scope 3 definitions.</w:t>
      </w:r>
    </w:p>
    <w:bookmarkStart w:id="32" w:name="X0e48f07fb211b88a095050ae44e2013bd88c5c8"/>
    <w:p>
      <w:pPr>
        <w:pStyle w:val="Heading3"/>
      </w:pPr>
      <w:r>
        <w:t xml:space="preserve">Total Product Carbon Footprint:</w:t>
      </w:r>
      <w:r>
        <w:t xml:space="preserve"> </w:t>
      </w:r>
      <w:r>
        <w:t xml:space="preserve">24.968 kgCO2e per functional unit</w:t>
      </w:r>
    </w:p>
    <w:bookmarkEnd w:id="32"/>
    <w:bookmarkStart w:id="38" w:name="Xa9c265f933f934cc6040da6d7a2c3818bc9bbcd"/>
    <w:p>
      <w:pPr>
        <w:pStyle w:val="Heading3"/>
      </w:pPr>
      <w:r>
        <w:t xml:space="preserve">Detailed Emission Breakdown by Lifecycle Stage and GHG Scope</w:t>
      </w:r>
    </w:p>
    <w:bookmarkStart w:id="33" w:name="Xc468ded5a7fa091b9c9a81ca7124d562fc085dd"/>
    <w:p>
      <w:pPr>
        <w:pStyle w:val="Heading4"/>
      </w:pPr>
      <w:r>
        <w:t xml:space="preserve">Materials Acquisition &amp; Pre-processing (Upstream - Scope 3)</w:t>
      </w:r>
    </w:p>
    <w:p>
      <w:pPr>
        <w:pStyle w:val="FirstParagraph"/>
      </w:pPr>
      <w:r>
        <w:t xml:space="preserve">Based on the provided BOM (</w:t>
      </w:r>
      <w:r>
        <w:t xml:space="preserve">vqleiluy</w:t>
      </w:r>
      <w:r>
        <w:t xml:space="preserve">) and the illustrative emission factors for each component: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 (from BOM)</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Emissions (kgCO2e)</w:t>
            </w:r>
          </w:p>
        </w:tc>
      </w:tr>
      <w:tr>
        <w:tc>
          <w:tcPr/>
          <w:p>
            <w:pPr>
              <w:pStyle w:val="Compact"/>
              <w:jc w:val="left"/>
            </w:pPr>
            <w:r>
              <w:t xml:space="preserve">Plastic Casing (ABS)</w:t>
            </w:r>
          </w:p>
        </w:tc>
        <w:tc>
          <w:tcPr/>
          <w:p>
            <w:pPr>
              <w:pStyle w:val="Compact"/>
              <w:jc w:val="left"/>
            </w:pPr>
            <w:r>
              <w:t xml:space="preserve">0.5</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Aluminum Frame (Alloy 6061)</w:t>
            </w:r>
          </w:p>
        </w:tc>
        <w:tc>
          <w:tcPr/>
          <w:p>
            <w:pPr>
              <w:pStyle w:val="Compact"/>
              <w:jc w:val="left"/>
            </w:pPr>
            <w:r>
              <w:t xml:space="preserve">0.2</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Electronic Board (PCB with components)</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0.05</w:t>
            </w:r>
          </w:p>
        </w:tc>
        <w:tc>
          <w:tcPr/>
          <w:p>
            <w:pPr>
              <w:pStyle w:val="Compact"/>
              <w:jc w:val="left"/>
            </w:pPr>
            <w:r>
              <w:t xml:space="preserve">6.0</w:t>
            </w:r>
          </w:p>
        </w:tc>
        <w:tc>
          <w:tcPr/>
          <w:p>
            <w:pPr>
              <w:pStyle w:val="Compact"/>
              <w:jc w:val="left"/>
            </w:pPr>
            <w:r>
              <w:t xml:space="preserve">0.30</w:t>
            </w:r>
          </w:p>
        </w:tc>
      </w:tr>
      <w:tr>
        <w:tc>
          <w:tcPr/>
          <w:p>
            <w:pPr>
              <w:pStyle w:val="Compact"/>
              <w:jc w:val="left"/>
            </w:pPr>
            <w:r>
              <w:rPr>
                <w:bCs/>
                <w:b/>
              </w:rPr>
              <w:t xml:space="preserve">Subtotal Materials</w:t>
            </w:r>
          </w:p>
        </w:tc>
        <w:tc>
          <w:tcPr/>
          <w:p>
            <w:pPr>
              <w:pStyle w:val="Compact"/>
            </w:pPr>
          </w:p>
        </w:tc>
        <w:tc>
          <w:tcPr/>
          <w:p>
            <w:pPr>
              <w:pStyle w:val="Compact"/>
            </w:pPr>
          </w:p>
        </w:tc>
        <w:tc>
          <w:tcPr/>
          <w:p>
            <w:pPr>
              <w:pStyle w:val="Compact"/>
              <w:jc w:val="left"/>
            </w:pPr>
            <w:r>
              <w:rPr>
                <w:bCs/>
                <w:b/>
              </w:rPr>
              <w:t xml:space="preserve">4.65</w:t>
            </w:r>
          </w:p>
        </w:tc>
      </w:tr>
    </w:tbl>
    <w:p>
      <w:pPr>
        <w:pStyle w:val="BodyText"/>
      </w:pPr>
      <w:r>
        <w:rPr>
          <w:bCs/>
          <w:b/>
        </w:rPr>
        <w:t xml:space="preserve">Total Emissions (Materials):</w:t>
      </w:r>
      <w:r>
        <w:t xml:space="preserve"> </w:t>
      </w:r>
      <w:r>
        <w:t xml:space="preserve">4.65 kgCO2e (Scope 3 - Upstream)</w:t>
      </w:r>
    </w:p>
    <w:bookmarkEnd w:id="33"/>
    <w:bookmarkStart w:id="34" w:name="manufacturing-core---scope-1-2"/>
    <w:p>
      <w:pPr>
        <w:pStyle w:val="Heading4"/>
      </w:pPr>
      <w:r>
        <w:t xml:space="preserve">Manufacturing (Core - Scope 1 &amp; 2)</w:t>
      </w:r>
    </w:p>
    <w:p>
      <w:pPr>
        <w:pStyle w:val="FirstParagraph"/>
      </w:pPr>
      <w:r>
        <w:t xml:space="preserve">This stage includes energy consumption at the production facility in China.</w:t>
      </w:r>
    </w:p>
    <w:p>
      <w:pPr>
        <w:numPr>
          <w:ilvl w:val="0"/>
          <w:numId w:val="1016"/>
        </w:numPr>
        <w:pStyle w:val="Compact"/>
      </w:pPr>
      <w:r>
        <w:t xml:space="preserve">Energy Intensity: 1.2 kWh/unit (from</w:t>
      </w:r>
      <w:r>
        <w:t xml:space="preserve"> </w:t>
      </w:r>
      <w:r>
        <w:t xml:space="preserve">wsorygrokp</w:t>
      </w:r>
      <w:r>
        <w:t xml:space="preserve">)</w:t>
      </w:r>
    </w:p>
    <w:p>
      <w:pPr>
        <w:numPr>
          <w:ilvl w:val="0"/>
          <w:numId w:val="1016"/>
        </w:numPr>
        <w:pStyle w:val="Compact"/>
      </w:pPr>
      <w:r>
        <w:t xml:space="preserve">Renewable Energy Usage: 60% (from</w:t>
      </w:r>
      <w:r>
        <w:t xml:space="preserve"> </w:t>
      </w:r>
      <w:r>
        <w:t xml:space="preserve">qsvskwypkj</w:t>
      </w:r>
      <w:r>
        <w:t xml:space="preserve">)</w:t>
      </w:r>
    </w:p>
    <w:p>
      <w:pPr>
        <w:numPr>
          <w:ilvl w:val="0"/>
          <w:numId w:val="1016"/>
        </w:numPr>
        <w:pStyle w:val="Compact"/>
      </w:pPr>
      <w:r>
        <w:t xml:space="preserve">Non-renewable energy purchased: 1.2 kWh/unit * (1 - 0.60) = 0.48 kWh/unit</w:t>
      </w:r>
    </w:p>
    <w:p>
      <w:pPr>
        <w:numPr>
          <w:ilvl w:val="0"/>
          <w:numId w:val="1016"/>
        </w:numPr>
        <w:pStyle w:val="Compact"/>
      </w:pPr>
      <w:r>
        <w:t xml:space="preserve">Grid Electricity Emission Factor (China): 0.6 kgCO2e/kWh</w:t>
      </w:r>
    </w:p>
    <w:p>
      <w:pPr>
        <w:pStyle w:val="FirstParagraph"/>
      </w:pPr>
      <w:r>
        <w:rPr>
          <w:bCs/>
          <w:b/>
        </w:rPr>
        <w:t xml:space="preserve">Scope 2 Emissions (Purchased Electricity):</w:t>
      </w:r>
      <w:r>
        <w:t xml:space="preserve"> </w:t>
      </w:r>
      <w:r>
        <w:t xml:space="preserve">0.48 kWh/unit * 0.6 kgCO2e/kWh = 0.288 kgCO2e</w:t>
      </w:r>
    </w:p>
    <w:p>
      <w:pPr>
        <w:pStyle w:val="BodyText"/>
      </w:pPr>
      <w:r>
        <w:rPr>
          <w:iCs/>
          <w:i/>
        </w:rPr>
        <w:t xml:space="preserve">Scope 1 Emissions (Direct, e.g., on-site fuel combustion):</w:t>
      </w:r>
      <w:r>
        <w:t xml:space="preserve"> </w:t>
      </w:r>
      <w:r>
        <w:t xml:space="preserve">For this product and factory-gate boundary, direct combustion emissions are assumed negligible or fully accounted for within purchased electricity emissions.</w:t>
      </w:r>
    </w:p>
    <w:p>
      <w:pPr>
        <w:pStyle w:val="BodyText"/>
      </w:pPr>
      <w:r>
        <w:rPr>
          <w:bCs/>
          <w:b/>
        </w:rPr>
        <w:t xml:space="preserve">Total Emissions (Manufacturing):</w:t>
      </w:r>
      <w:r>
        <w:t xml:space="preserve"> </w:t>
      </w:r>
      <w:r>
        <w:t xml:space="preserve">0.288 kgCO2e (Scope 2)</w:t>
      </w:r>
    </w:p>
    <w:bookmarkEnd w:id="34"/>
    <w:bookmarkStart w:id="35" w:name="Xa1d8eb1017c9433f871ad3f6273ddc9b35a7d84"/>
    <w:p>
      <w:pPr>
        <w:pStyle w:val="Heading4"/>
      </w:pPr>
      <w:r>
        <w:t xml:space="preserve">Transportation &amp; Distribution (Upstream &amp; Downstream - Scope 3)</w:t>
      </w:r>
    </w:p>
    <w:p>
      <w:pPr>
        <w:pStyle w:val="FirstParagraph"/>
      </w:pPr>
      <w:r>
        <w:t xml:space="preserve">Calculations based on assumed distances from</w:t>
      </w:r>
      <w:r>
        <w:t xml:space="preserve"> </w:t>
      </w:r>
      <w:r>
        <w:t xml:space="preserve">jknlzfmugn</w:t>
      </w:r>
      <w:r>
        <w:t xml:space="preserve"> </w:t>
      </w:r>
      <w:r>
        <w:t xml:space="preserve">and selected transport modes (</w:t>
      </w:r>
      <w:r>
        <w:t xml:space="preserve">Select Mode</w:t>
      </w:r>
      <w:r>
        <w:t xml:space="preserve">,</w:t>
      </w:r>
      <w:r>
        <w:t xml:space="preserve"> </w:t>
      </w:r>
      <w:r>
        <w:t xml:space="preserve">Delivery Type</w:t>
      </w:r>
      <w:r>
        <w:t xml:space="preserve">). Product mass assumed to be the sum of BOM components: 0.5 + 0.2 + 0.1 + 0.05 = 0.85 kg.</w:t>
      </w:r>
    </w:p>
    <w:p>
      <w:pPr>
        <w:numPr>
          <w:ilvl w:val="0"/>
          <w:numId w:val="1017"/>
        </w:numPr>
        <w:pStyle w:val="Compact"/>
      </w:pPr>
      <w:r>
        <w:rPr>
          <w:bCs/>
          <w:b/>
        </w:rPr>
        <w:t xml:space="preserve">Inbound Logistics (Europe to China):</w:t>
      </w:r>
    </w:p>
    <w:p>
      <w:pPr>
        <w:numPr>
          <w:ilvl w:val="1"/>
          <w:numId w:val="1018"/>
        </w:numPr>
        <w:pStyle w:val="Compact"/>
      </w:pPr>
      <w:r>
        <w:t xml:space="preserve">Ocean Freight (6,000 km): (6000 km * 0.85 kg product / 1000 kg/tonne) * 0.016 kgCO2e/tonne-km = 0.0816 kgCO2e</w:t>
      </w:r>
    </w:p>
    <w:p>
      <w:pPr>
        <w:numPr>
          <w:ilvl w:val="1"/>
          <w:numId w:val="1018"/>
        </w:numPr>
        <w:pStyle w:val="Compact"/>
      </w:pPr>
      <w:r>
        <w:t xml:space="preserve">Road Freight (1,000 km): (1000 km * 0.85 kg product / 1000 kg/tonne) * 0.09 kgCO2e/tonne-km = 0.0765 kgCO2e</w:t>
      </w:r>
    </w:p>
    <w:p>
      <w:pPr>
        <w:numPr>
          <w:ilvl w:val="1"/>
          <w:numId w:val="1018"/>
        </w:numPr>
        <w:pStyle w:val="Compact"/>
      </w:pPr>
      <w:r>
        <w:rPr>
          <w:bCs/>
          <w:b/>
        </w:rPr>
        <w:t xml:space="preserve">Subtotal Inbound:</w:t>
      </w:r>
      <w:r>
        <w:t xml:space="preserve"> </w:t>
      </w:r>
      <w:r>
        <w:t xml:space="preserve">0.0816 + 0.0765 = 0.1581 kgCO2e</w:t>
      </w:r>
    </w:p>
    <w:p>
      <w:pPr>
        <w:numPr>
          <w:ilvl w:val="0"/>
          <w:numId w:val="1017"/>
        </w:numPr>
        <w:pStyle w:val="Compact"/>
      </w:pPr>
      <w:r>
        <w:rPr>
          <w:bCs/>
          <w:b/>
        </w:rPr>
        <w:t xml:space="preserve">Outbound Distribution (China to Customer):</w:t>
      </w:r>
    </w:p>
    <w:p>
      <w:pPr>
        <w:numPr>
          <w:ilvl w:val="1"/>
          <w:numId w:val="1019"/>
        </w:numPr>
        <w:pStyle w:val="Compact"/>
      </w:pPr>
      <w:r>
        <w:t xml:space="preserve">Road Freight (1,500 km): (1500 km * 0.85 kg product / 1000 kg/tonne) * 0.09 kgCO2e/tonne-km = 0.11475 kgCO2e</w:t>
      </w:r>
    </w:p>
    <w:p>
      <w:pPr>
        <w:numPr>
          <w:ilvl w:val="1"/>
          <w:numId w:val="1019"/>
        </w:numPr>
        <w:pStyle w:val="Compact"/>
      </w:pPr>
      <w:r>
        <w:t xml:space="preserve">Last-Mile Delivery (Courier Van, assuming 50 km per delivery for illustrative purposes and an average load of 20 units per van for allocation): (50 km * 0.25 kgCO2e/km) / 20 units = 0.625 kgCO2e</w:t>
      </w:r>
    </w:p>
    <w:p>
      <w:pPr>
        <w:numPr>
          <w:ilvl w:val="1"/>
          <w:numId w:val="1019"/>
        </w:numPr>
        <w:pStyle w:val="Compact"/>
      </w:pPr>
      <w:r>
        <w:rPr>
          <w:bCs/>
          <w:b/>
        </w:rPr>
        <w:t xml:space="preserve">Subtotal Outbound:</w:t>
      </w:r>
      <w:r>
        <w:t xml:space="preserve"> </w:t>
      </w:r>
      <w:r>
        <w:t xml:space="preserve">0.11475 + 0.625 = 0.73975 kgCO2e</w:t>
      </w:r>
    </w:p>
    <w:p>
      <w:pPr>
        <w:pStyle w:val="FirstParagraph"/>
      </w:pPr>
      <w:r>
        <w:rPr>
          <w:bCs/>
          <w:b/>
        </w:rPr>
        <w:t xml:space="preserve">Total Emissions (Transportation):</w:t>
      </w:r>
      <w:r>
        <w:t xml:space="preserve"> </w:t>
      </w:r>
      <w:r>
        <w:t xml:space="preserve">0.1581 + 0.73975 = 0.89785 kgCO2e (Scope 3 - Upstream &amp; Downstream)</w:t>
      </w:r>
    </w:p>
    <w:bookmarkEnd w:id="35"/>
    <w:bookmarkStart w:id="36" w:name="use-phase-downstream---scope-3"/>
    <w:p>
      <w:pPr>
        <w:pStyle w:val="Heading4"/>
      </w:pPr>
      <w:r>
        <w:t xml:space="preserve">Use Phase (Downstream - Scope 3)</w:t>
      </w:r>
    </w:p>
    <w:p>
      <w:pPr>
        <w:pStyle w:val="FirstParagraph"/>
      </w:pPr>
      <w:r>
        <w:t xml:space="preserve">Calculated based on Product Lifespan (</w:t>
      </w:r>
      <w:r>
        <w:t xml:space="preserve">trtjyqvtzu</w:t>
      </w:r>
      <w:r>
        <w:t xml:space="preserve">) and Energy Consumption in Use (</w:t>
      </w:r>
      <w:r>
        <w:t xml:space="preserve">qrnneehqxx</w:t>
      </w:r>
      <w:r>
        <w:t xml:space="preserve">).</w:t>
      </w:r>
    </w:p>
    <w:p>
      <w:pPr>
        <w:numPr>
          <w:ilvl w:val="0"/>
          <w:numId w:val="1020"/>
        </w:numPr>
        <w:pStyle w:val="Compact"/>
      </w:pPr>
      <w:r>
        <w:t xml:space="preserve">Product Lifespan: 5 years (from</w:t>
      </w:r>
      <w:r>
        <w:t xml:space="preserve"> </w:t>
      </w:r>
      <w:r>
        <w:t xml:space="preserve">trtjyqvtzu</w:t>
      </w:r>
      <w:r>
        <w:t xml:space="preserve"> </w:t>
      </w:r>
      <w:r>
        <w:t xml:space="preserve">interpretation)</w:t>
      </w:r>
    </w:p>
    <w:p>
      <w:pPr>
        <w:numPr>
          <w:ilvl w:val="0"/>
          <w:numId w:val="1020"/>
        </w:numPr>
        <w:pStyle w:val="Compact"/>
      </w:pPr>
      <w:r>
        <w:t xml:space="preserve">Annual Energy Consumption: 10 kWh/year (from</w:t>
      </w:r>
      <w:r>
        <w:t xml:space="preserve"> </w:t>
      </w:r>
      <w:r>
        <w:t xml:space="preserve">qrnneehqxx</w:t>
      </w:r>
      <w:r>
        <w:t xml:space="preserve"> </w:t>
      </w:r>
      <w:r>
        <w:t xml:space="preserve">interpretation)</w:t>
      </w:r>
    </w:p>
    <w:p>
      <w:pPr>
        <w:numPr>
          <w:ilvl w:val="0"/>
          <w:numId w:val="1020"/>
        </w:numPr>
        <w:pStyle w:val="Compact"/>
      </w:pPr>
      <w:r>
        <w:t xml:space="preserve">Total Energy Consumption over Lifespan: 10 kWh/year * 5 years = 50 kWh</w:t>
      </w:r>
    </w:p>
    <w:p>
      <w:pPr>
        <w:numPr>
          <w:ilvl w:val="0"/>
          <w:numId w:val="1020"/>
        </w:numPr>
        <w:pStyle w:val="Compact"/>
      </w:pPr>
      <w:r>
        <w:t xml:space="preserve">Electricity Emission Factor (Global Avg): 0.4 kgCO2e/kWh</w:t>
      </w:r>
    </w:p>
    <w:p>
      <w:pPr>
        <w:pStyle w:val="FirstParagraph"/>
      </w:pPr>
      <w:r>
        <w:rPr>
          <w:bCs/>
          <w:b/>
        </w:rPr>
        <w:t xml:space="preserve">Total Emissions (Use Phase):</w:t>
      </w:r>
      <w:r>
        <w:t xml:space="preserve"> </w:t>
      </w:r>
      <w:r>
        <w:t xml:space="preserve">50 kWh * 0.4 kgCO2e/kWh = 20.0 kgCO2e (Scope 3 - Downstream)</w:t>
      </w:r>
    </w:p>
    <w:bookmarkEnd w:id="36"/>
    <w:bookmarkStart w:id="37" w:name="end-of-life-downstream---scope-3"/>
    <w:p>
      <w:pPr>
        <w:pStyle w:val="Heading4"/>
      </w:pPr>
      <w:r>
        <w:t xml:space="preserve">End-of-Life (Downstream - Scope 3)</w:t>
      </w:r>
    </w:p>
    <w:p>
      <w:pPr>
        <w:pStyle w:val="FirstParagraph"/>
      </w:pPr>
      <w:r>
        <w:t xml:space="preserve">Calculated based on Recyclability Percentage (</w:t>
      </w:r>
      <w:r>
        <w:t xml:space="preserve">dvegdjdhqw</w:t>
      </w:r>
      <w:r>
        <w:t xml:space="preserve">) and the impact of Circular/Take-back Programs (</w:t>
      </w:r>
      <w:r>
        <w:t xml:space="preserve">pjertuswqn</w:t>
      </w:r>
      <w:r>
        <w:t xml:space="preserve">).</w:t>
      </w:r>
    </w:p>
    <w:p>
      <w:pPr>
        <w:numPr>
          <w:ilvl w:val="0"/>
          <w:numId w:val="1021"/>
        </w:numPr>
        <w:pStyle w:val="Compact"/>
      </w:pPr>
      <w:r>
        <w:t xml:space="preserve">Product Mass: 0.85 kg</w:t>
      </w:r>
    </w:p>
    <w:p>
      <w:pPr>
        <w:numPr>
          <w:ilvl w:val="0"/>
          <w:numId w:val="1021"/>
        </w:numPr>
        <w:pStyle w:val="Compact"/>
      </w:pPr>
      <w:r>
        <w:t xml:space="preserve">Recyclability Rate: 80% (from</w:t>
      </w:r>
      <w:r>
        <w:t xml:space="preserve"> </w:t>
      </w:r>
      <w:r>
        <w:t xml:space="preserve">dvegdjdhqw</w:t>
      </w:r>
      <w:r>
        <w:t xml:space="preserve"> </w:t>
      </w:r>
      <w:r>
        <w:t xml:space="preserve">interpretation)</w:t>
      </w:r>
    </w:p>
    <w:p>
      <w:pPr>
        <w:numPr>
          <w:ilvl w:val="0"/>
          <w:numId w:val="1021"/>
        </w:numPr>
        <w:pStyle w:val="Compact"/>
      </w:pPr>
      <w:r>
        <w:t xml:space="preserve">Recycled Mass: 0.85 kg * 0.80 = 0.68 kg</w:t>
      </w:r>
    </w:p>
    <w:p>
      <w:pPr>
        <w:numPr>
          <w:ilvl w:val="0"/>
          <w:numId w:val="1021"/>
        </w:numPr>
        <w:pStyle w:val="Compact"/>
      </w:pPr>
      <w:r>
        <w:t xml:space="preserve">Landfilled Mass: 0.85 kg * (1 - 0.80) = 0.17 kg</w:t>
      </w:r>
    </w:p>
    <w:p>
      <w:pPr>
        <w:numPr>
          <w:ilvl w:val="0"/>
          <w:numId w:val="1021"/>
        </w:numPr>
        <w:pStyle w:val="Compact"/>
      </w:pPr>
      <w:r>
        <w:t xml:space="preserve">Recycling Credit: 0.68 kg * -1.5 kgCO2e/kg (credit for avoided virgin material) = -1.02 kgCO2e</w:t>
      </w:r>
    </w:p>
    <w:p>
      <w:pPr>
        <w:numPr>
          <w:ilvl w:val="0"/>
          <w:numId w:val="1021"/>
        </w:numPr>
        <w:pStyle w:val="Compact"/>
      </w:pPr>
      <w:r>
        <w:t xml:space="preserve">Landfill Emissions: 0.17 kg * 0.1 kgCO2e/kg = 0.017 kgCO2e</w:t>
      </w:r>
    </w:p>
    <w:p>
      <w:pPr>
        <w:numPr>
          <w:ilvl w:val="0"/>
          <w:numId w:val="1021"/>
        </w:numPr>
        <w:pStyle w:val="Compact"/>
      </w:pPr>
      <w:r>
        <w:t xml:space="preserve">The existence of</w:t>
      </w:r>
      <w:r>
        <w:t xml:space="preserve"> </w:t>
      </w:r>
      <w:r>
        <w:t xml:space="preserve">pjertuswqn</w:t>
      </w:r>
      <w:r>
        <w:t xml:space="preserve"> </w:t>
      </w:r>
      <w:r>
        <w:t xml:space="preserve">(circular/take-back programs) ensures that the high recyclability rate is actively pursued and maximized, leading to significant avoided emissions from virgin material production, which is reflected as a carbon removal credit.</w:t>
      </w:r>
    </w:p>
    <w:p>
      <w:pPr>
        <w:pStyle w:val="FirstParagraph"/>
      </w:pPr>
      <w:r>
        <w:rPr>
          <w:bCs/>
          <w:b/>
        </w:rPr>
        <w:t xml:space="preserve">Total Emissions (End-of-Life):</w:t>
      </w:r>
      <w:r>
        <w:t xml:space="preserve"> </w:t>
      </w:r>
      <w:r>
        <w:t xml:space="preserve">-1.02 + 0.017 = -1.003 kgCO2e (Scope 3 - Downstream)</w:t>
      </w:r>
    </w:p>
    <w:p>
      <w:pPr>
        <w:pStyle w:val="BodyText"/>
      </w:pPr>
      <w:r>
        <w:rPr>
          <w:iCs/>
          <w:i/>
        </w:rPr>
        <w:t xml:space="preserve">Note: A negative value indicates a net carbon removal or avoided emissions due to recycling credits and circular economy initiatives, reflecting the application of the LSR Standard principles for removals.</w:t>
      </w:r>
    </w:p>
    <w:bookmarkEnd w:id="37"/>
    <w:bookmarkEnd w:id="38"/>
    <w:bookmarkStart w:id="39" w:name="X9b8f96e5fd6ec30b02c91cc11d45f1568d9808c"/>
    <w:p>
      <w:pPr>
        <w:pStyle w:val="Heading3"/>
      </w:pPr>
      <w:r>
        <w:t xml:space="preserve">Summary of Emissions by Scope and Lifecycle Stage</w:t>
      </w:r>
    </w:p>
    <w:p>
      <w:pPr>
        <w:pStyle w:val="FirstParagraph"/>
      </w:pPr>
      <w:r>
        <w:t xml:space="preserve">The total Product Carbon Footprint for jkvmdsuvvz is</w:t>
      </w:r>
      <w:r>
        <w:t xml:space="preserve"> </w:t>
      </w:r>
      <w:r>
        <w:t xml:space="preserve">24.968 kgCO2e</w:t>
      </w:r>
      <w:r>
        <w:t xml:space="preserve"> </w:t>
      </w:r>
      <w:r>
        <w:t xml:space="preserve">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4.650</w:t>
            </w:r>
          </w:p>
        </w:tc>
        <w:tc>
          <w:tcPr/>
          <w:p>
            <w:pPr>
              <w:pStyle w:val="Compact"/>
              <w:jc w:val="left"/>
            </w:pPr>
            <w:r>
              <w:t xml:space="preserve">18.62%</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0.288</w:t>
            </w:r>
          </w:p>
        </w:tc>
        <w:tc>
          <w:tcPr/>
          <w:p>
            <w:pPr>
              <w:pStyle w:val="Compact"/>
              <w:jc w:val="left"/>
            </w:pPr>
            <w:r>
              <w:t xml:space="preserve">1.15%</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0.898</w:t>
            </w:r>
          </w:p>
        </w:tc>
        <w:tc>
          <w:tcPr/>
          <w:p>
            <w:pPr>
              <w:pStyle w:val="Compact"/>
              <w:jc w:val="left"/>
            </w:pPr>
            <w:r>
              <w:t xml:space="preserve">3.60%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20.000</w:t>
            </w:r>
          </w:p>
        </w:tc>
        <w:tc>
          <w:tcPr/>
          <w:p>
            <w:pPr>
              <w:pStyle w:val="Compact"/>
              <w:jc w:val="left"/>
            </w:pPr>
            <w:r>
              <w:t xml:space="preserve">80.10%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-1.003</w:t>
            </w:r>
          </w:p>
        </w:tc>
        <w:tc>
          <w:tcPr/>
          <w:p>
            <w:pPr>
              <w:pStyle w:val="Compact"/>
              <w:jc w:val="left"/>
            </w:pPr>
            <w:r>
              <w:t xml:space="preserve">-4.02%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24.968</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total Scope 3 emissions (Materials + Transportation + Use Phase + End-of-Life) amount to 4.65 + 0.898 + 20.0 - 1.003 = 24.545 kgCO2e.</w:t>
      </w:r>
      <w:r>
        <w:t xml:space="preserve"> </w:t>
      </w:r>
      <w:r>
        <w:t xml:space="preserve">With a Total PCF of 24.968 kgCO2e, the Scope 3 coverage is (24.545 / 24.968) * 100% = 98.30%. This exceeds the</w:t>
      </w:r>
      <w:r>
        <w:t xml:space="preserve"> </w:t>
      </w:r>
      <w:r>
        <w:t xml:space="preserve">2026 requirement for at least 95% Scope 3 reporting coverage</w:t>
      </w:r>
      <w:r>
        <w:t xml:space="preserve">.</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analysis clearly identifies the</w:t>
      </w:r>
      <w:r>
        <w:t xml:space="preserve"> </w:t>
      </w:r>
      <w:r>
        <w:t xml:space="preserve">Use Phase</w:t>
      </w:r>
      <w:r>
        <w:t xml:space="preserve"> </w:t>
      </w:r>
      <w:r>
        <w:t xml:space="preserve">as the primary emission hotspot, contributing approximately 80.10% of the total Product Carbon Footprint. This is largely driven by the energy consumption of the product over its 5-year lifespan.</w:t>
      </w:r>
      <w:r>
        <w:t xml:space="preserve"> </w:t>
      </w:r>
      <w:r>
        <w:t xml:space="preserve">Material Acquisition &amp; Pre-processing</w:t>
      </w:r>
      <w:r>
        <w:t xml:space="preserve"> </w:t>
      </w:r>
      <w:r>
        <w:t xml:space="preserve">is the second largest contributor at 18.62%, highlighting the significant impact of raw material choices and their associated manufacturing processes.</w:t>
      </w:r>
    </w:p>
    <w:bookmarkEnd w:id="41"/>
    <w:bookmarkStart w:id="42" w:name="reliability-and-limitations"/>
    <w:p>
      <w:pPr>
        <w:pStyle w:val="Heading3"/>
      </w:pPr>
      <w:r>
        <w:t xml:space="preserve">Reliability and Limitations</w:t>
      </w:r>
    </w:p>
    <w:p>
      <w:pPr>
        <w:pStyle w:val="FirstParagraph"/>
      </w:pPr>
      <w:r>
        <w:t xml:space="preserve">The reliability of this PCF analysis is highly dependent on the accuracy and completeness of the input data. While primary data from</w:t>
      </w:r>
      <w:r>
        <w:t xml:space="preserve"> </w:t>
      </w:r>
      <w:r>
        <w:t xml:space="preserve">kkylrxxiox</w:t>
      </w:r>
      <w:r>
        <w:t xml:space="preserve"> </w:t>
      </w:r>
      <w:r>
        <w:t xml:space="preserve">was used for the core parameters, illustrative secondary emission factors from databases like Ecoinvent and DEFRA were used for generic processes and materials. For a fully verified report, direct, site-specific primary data for all processes, including supply chain logistics and energy mixes, would enhance accuracy. The interpretation of the string parameters (`vqleiluy`, `jknlzfmugn`, etc.) into numerical values for calculation purposes involved reasonable assumptions, which would require validation against actual company data.</w:t>
      </w:r>
    </w:p>
    <w:p>
      <w:pPr>
        <w:pStyle w:val="BodyText"/>
      </w:pPr>
      <w:r>
        <w:t xml:space="preserve">The application of the GHG Protocol\'s 2026 LSR Standard, particularly in accounting for avoided emissions through circular economy programs, enhances the comprehensiveness of the report but also relies on robust methodologies for quantifying these benefits.</w:t>
      </w:r>
    </w:p>
    <w:bookmarkEnd w:id="42"/>
    <w:bookmarkStart w:id="43" w:name="recommendations-for-reduction"/>
    <w:p>
      <w:pPr>
        <w:pStyle w:val="Heading3"/>
      </w:pPr>
      <w:r>
        <w:t xml:space="preserve">Recommendations for Reduction</w:t>
      </w:r>
    </w:p>
    <w:p>
      <w:pPr>
        <w:pStyle w:val="FirstParagraph"/>
      </w:pPr>
      <w:r>
        <w:t xml:space="preserve">Based on the identified hotspots, the following recommendations are provided for</w:t>
      </w:r>
      <w:r>
        <w:t xml:space="preserve"> </w:t>
      </w:r>
      <w:r>
        <w:t xml:space="preserve">kkylrxxiox</w:t>
      </w:r>
      <w:r>
        <w:t xml:space="preserve"> </w:t>
      </w:r>
      <w:r>
        <w:t xml:space="preserve">to reduce the carbon footprint of</w:t>
      </w:r>
      <w:r>
        <w:t xml:space="preserve"> </w:t>
      </w:r>
      <w:r>
        <w:t xml:space="preserve">jkvmdsuvvz</w:t>
      </w:r>
      <w:r>
        <w:t xml:space="preserve">:</w:t>
      </w:r>
    </w:p>
    <w:p>
      <w:pPr>
        <w:numPr>
          <w:ilvl w:val="0"/>
          <w:numId w:val="1022"/>
        </w:numPr>
        <w:pStyle w:val="Compact"/>
      </w:pPr>
      <w:r>
        <w:rPr>
          <w:bCs/>
          <w:b/>
        </w:rPr>
        <w:t xml:space="preserve">Optimize Use Phase Energy Efficiency:</w:t>
      </w:r>
      <w:r>
        <w:t xml:space="preserve"> </w:t>
      </w:r>
      <w:r>
        <w:t xml:space="preserve">Focus on engineering improvements to reduce the product\'s energy consumption during its operational lifespan. This could include higher efficiency components, smart power management features, or designing for lower power modes.</w:t>
      </w:r>
    </w:p>
    <w:p>
      <w:pPr>
        <w:numPr>
          <w:ilvl w:val="0"/>
          <w:numId w:val="1022"/>
        </w:numPr>
        <w:pStyle w:val="Compact"/>
      </w:pPr>
      <w:r>
        <w:rPr>
          <w:bCs/>
          <w:b/>
        </w:rPr>
        <w:t xml:space="preserve">Increase Renewable Energy in Production:</w:t>
      </w:r>
      <w:r>
        <w:t xml:space="preserve"> </w:t>
      </w:r>
      <w:r>
        <w:t xml:space="preserve">Continue to increase the share of renewable energy sourcing beyond the current 60% (</w:t>
      </w:r>
      <w:r>
        <w:t xml:space="preserve">qsvskwypkj</w:t>
      </w:r>
      <w:r>
        <w:t xml:space="preserve">) at the manufacturing facility in China. Investing in on-site renewables or purchasing high-quality renewable energy certificates can further reduce Scope 2 emissions.</w:t>
      </w:r>
    </w:p>
    <w:p>
      <w:pPr>
        <w:numPr>
          <w:ilvl w:val="0"/>
          <w:numId w:val="1022"/>
        </w:numPr>
        <w:pStyle w:val="Compact"/>
      </w:pPr>
      <w:r>
        <w:rPr>
          <w:bCs/>
          <w:b/>
        </w:rPr>
        <w:t xml:space="preserve">Material Optimization:</w:t>
      </w:r>
      <w:r>
        <w:t xml:space="preserve"> </w:t>
      </w:r>
      <w:r>
        <w:t xml:space="preserve">Investigate alternative, lower-carbon materials for the plastic casing, aluminum frame, and electronic components. This includes exploring recycled content, bio-based materials, or materials with inherently lower embodied emissions.</w:t>
      </w:r>
    </w:p>
    <w:p>
      <w:pPr>
        <w:numPr>
          <w:ilvl w:val="0"/>
          <w:numId w:val="1022"/>
        </w:numPr>
        <w:pStyle w:val="Compact"/>
      </w:pPr>
      <w:r>
        <w:rPr>
          <w:bCs/>
          <w:b/>
        </w:rPr>
        <w:t xml:space="preserve">Supply Chain Engagement:</w:t>
      </w:r>
      <w:r>
        <w:t xml:space="preserve"> </w:t>
      </w:r>
      <w:r>
        <w:t xml:space="preserve">Collaborate with suppliers to understand and reduce upstream emissions associated with raw material extraction and component manufacturing. Focus on suppliers with strong sustainability performance and transparency.</w:t>
      </w:r>
    </w:p>
    <w:p>
      <w:pPr>
        <w:numPr>
          <w:ilvl w:val="0"/>
          <w:numId w:val="1022"/>
        </w:numPr>
        <w:pStyle w:val="Compact"/>
      </w:pPr>
      <w:r>
        <w:rPr>
          <w:bCs/>
          <w:b/>
        </w:rPr>
        <w:t xml:space="preserve">Enhance Circularity:</w:t>
      </w:r>
      <w:r>
        <w:t xml:space="preserve"> </w:t>
      </w:r>
      <w:r>
        <w:t xml:space="preserve">Further expand and promote the</w:t>
      </w:r>
      <w:r>
        <w:t xml:space="preserve"> </w:t>
      </w:r>
      <w:r>
        <w:t xml:space="preserve">pjertuswqn</w:t>
      </w:r>
      <w:r>
        <w:t xml:space="preserve"> </w:t>
      </w:r>
      <w:r>
        <w:t xml:space="preserve">circular/take-back programs to maximize product lifespan through repair and refurbishment, and ensure the highest possible quality and quantity of materials are recovered for recycling.</w:t>
      </w:r>
    </w:p>
    <w:bookmarkEnd w:id="43"/>
    <w:bookmarkEnd w:id="44"/>
    <w:bookmarkEnd w:id="45"/>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jkvmdsuvvz</dc:title>
  <dc:creator/>
  <dc:description>Detailed Product Carbon Footprint (PCF) analysis report for jkvmdsuvvz, performed by fewimsuymv for kkylrxxiox, adhering to GHG Protocol standards and 2026 LSR updates.</dc:description>
  <cp:keywords/>
  <dcterms:created xsi:type="dcterms:W3CDTF">2026-07-15T20:12:23Z</dcterms:created>
  <dcterms:modified xsi:type="dcterms:W3CDTF">2026-07-15T20:12:23Z</dcterms:modified>
</cp:coreProperties>
</file>

<file path=docProps/custom.xml><?xml version="1.0" encoding="utf-8"?>
<Properties xmlns="http://schemas.openxmlformats.org/officeDocument/2006/custom-properties" xmlns:vt="http://schemas.openxmlformats.org/officeDocument/2006/docPropsVTypes"/>
</file>