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jjwrmktzet</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jjwrmktzet</w:t>
      </w:r>
    </w:p>
    <w:p>
      <w:pPr>
        <w:pStyle w:val="BodyText"/>
      </w:pPr>
      <w:r>
        <w:rPr>
          <w:bCs/>
          <w:b/>
        </w:rPr>
        <w:t xml:space="preserve">Company Name:</w:t>
      </w:r>
      <w:r>
        <w:t xml:space="preserve"> </w:t>
      </w:r>
      <w:r>
        <w:t xml:space="preserve">mdqjosdovy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vvvjohzmpn</w:t>
      </w:r>
    </w:p>
    <w:p>
      <w:pPr>
        <w:pStyle w:val="BodyText"/>
      </w:pPr>
      <w:r>
        <w:t xml:space="preserve">Disclaimer: This report is generated based on available data and industry standards. While every effort has been made to ensure accuracy, certain assumptions are based on best available public data and generalized emission factors where primary data was unavailable or unspecified.</w:t>
      </w:r>
    </w:p>
    <w:bookmarkEnd w:id="20"/>
    <w:bookmarkStart w:id="42" w:name="X3c88e6201e5113183b2dcf5c457928b2b6190e5"/>
    <w:p>
      <w:pPr>
        <w:pStyle w:val="Heading1"/>
      </w:pPr>
      <w:r>
        <w:t xml:space="preserve">Product Carbon Footprint Analysis: jjwrmktzet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jjwrmktzet, manufactured by mdqjosdovy. The analysis, conducted by vvvjohzmpn, a Senior Sustainability Consultant specializing in GHG Protocol, adheres strictly to the Greenhouse Gas Protocol standards, including considerations for the 2026 Land Sector and Removals (LSR) update and ensuring at least 95% Scope 3 coverage. The primary goal is to quantify the greenhouse gas emissions across the product\'s lifecycle, identify emission hotspots, and provide a foundation for future emission reduction strategies. The total carbon footprint for one functional unit of jjwrmktzet is calculated across its defined system boundary.</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The Product Carbon Footprint (PCF) analysis was performed following the five-step methodology as outlined, adhering to the GHG Protocol. This involves defining the scope, mapping the lifecycle, collecting data, calculating emissions, and finally reviewing and reporting. Emphasis is placed on categorizing emissions into Scope 1 (direct), Scope 2 (purchased energy), and Scope 3 (value chain), and applying the Land Sector and Removals (LSR) Standard.</w:t>
      </w:r>
    </w:p>
    <w:bookmarkStart w:id="22" w:name="scope-definition"/>
    <w:p>
      <w:pPr>
        <w:pStyle w:val="Heading3"/>
      </w:pPr>
      <w:r>
        <w:t xml:space="preserve">1.1. Scope Definition</w:t>
      </w:r>
    </w:p>
    <w:p>
      <w:pPr>
        <w:numPr>
          <w:ilvl w:val="0"/>
          <w:numId w:val="1001"/>
        </w:numPr>
        <w:pStyle w:val="Compact"/>
      </w:pPr>
      <w:r>
        <w:rPr>
          <w:bCs/>
          <w:b/>
        </w:rPr>
        <w:t xml:space="preserve">Functional Unit:</w:t>
      </w:r>
      <w:r>
        <w:t xml:space="preserve"> </w:t>
      </w:r>
      <w:r>
        <w:t xml:space="preserve">1.0 unit of jjwrmktzet</w:t>
      </w:r>
    </w:p>
    <w:p>
      <w:pPr>
        <w:numPr>
          <w:ilvl w:val="0"/>
          <w:numId w:val="1001"/>
        </w:numPr>
        <w:pStyle w:val="Compact"/>
      </w:pPr>
      <w:r>
        <w:rPr>
          <w:bCs/>
          <w:b/>
        </w:rPr>
        <w:t xml:space="preserve">System Boundary:</w:t>
      </w:r>
      <w:r>
        <w:t xml:space="preserve"> </w:t>
      </w:r>
      <w:r>
        <w:t xml:space="preserve">factory_gate (excluding distribution to end-customer and post-consumer end-of-life outside the specified scenarios).</w:t>
      </w:r>
    </w:p>
    <w:p>
      <w:pPr>
        <w:numPr>
          <w:ilvl w:val="0"/>
          <w:numId w:val="1001"/>
        </w:numPr>
        <w:pStyle w:val="Compact"/>
      </w:pPr>
      <w:r>
        <w:rPr>
          <w:bCs/>
          <w:b/>
        </w:rPr>
        <w:t xml:space="preserve">Geographic Scope:</w:t>
      </w:r>
      <w:r>
        <w:t xml:space="preserve"> </w:t>
      </w:r>
      <w:r>
        <w:t xml:space="preserve">Final Production Country: China, Supply Chain Focus: Europe Focused for upstream raw materials and manufacturing.</w:t>
      </w:r>
    </w:p>
    <w:p>
      <w:pPr>
        <w:numPr>
          <w:ilvl w:val="0"/>
          <w:numId w:val="1001"/>
        </w:numPr>
        <w:pStyle w:val="Compact"/>
      </w:pPr>
      <w:r>
        <w:rPr>
          <w:bCs/>
          <w:b/>
        </w:rPr>
        <w:t xml:space="preserve">Accounting Standard:</w:t>
      </w:r>
      <w:r>
        <w:t xml:space="preserve"> </w:t>
      </w:r>
      <w:r>
        <w:t xml:space="preserve">GHG Protocol (including 2026 LSR Update considerations and &gt;95% Scope 3 coverage).</w:t>
      </w:r>
    </w:p>
    <w:p>
      <w:pPr>
        <w:numPr>
          <w:ilvl w:val="0"/>
          <w:numId w:val="1001"/>
        </w:numPr>
        <w:pStyle w:val="Compact"/>
      </w:pPr>
      <w:r>
        <w:rPr>
          <w:bCs/>
          <w:b/>
        </w:rPr>
        <w:t xml:space="preserve">Allocation:</w:t>
      </w:r>
      <w:r>
        <w:t xml:space="preserve"> </w:t>
      </w:r>
      <w:r>
        <w:t xml:space="preserve">Mass-based allocation is assumed for multi-output processes where specific data is not available, following ecoinvent\'s cut-off principle where recyclables are burden-free to secondary processes.</w:t>
      </w:r>
    </w:p>
    <w:bookmarkEnd w:id="22"/>
    <w:bookmarkStart w:id="23" w:name="ghg-protocol-adherence"/>
    <w:p>
      <w:pPr>
        <w:pStyle w:val="Heading3"/>
      </w:pPr>
      <w:r>
        <w:t xml:space="preserve">1.2. GHG Protocol Adherence</w:t>
      </w:r>
    </w:p>
    <w:p>
      <w:pPr>
        <w:pStyle w:val="FirstParagraph"/>
      </w:pPr>
      <w:r>
        <w:t xml:space="preserve">Emissions are categorized as follows:</w:t>
      </w:r>
    </w:p>
    <w:p>
      <w:pPr>
        <w:numPr>
          <w:ilvl w:val="0"/>
          <w:numId w:val="1002"/>
        </w:numPr>
        <w:pStyle w:val="Compact"/>
      </w:pPr>
      <w:r>
        <w:rPr>
          <w:bCs/>
          <w:b/>
        </w:rPr>
        <w:t xml:space="preserve">Scope 1:</w:t>
      </w:r>
      <w:r>
        <w:t xml:space="preserve"> </w:t>
      </w:r>
      <w:r>
        <w:t xml:space="preserve">Direct emissions from owned or controlled sources. For this "factory_gate" system boundary and product-level analysis, direct combustion at the factory is not explicitly quantified as primary data was not provided. However, these would typically include on-site fuel combustion.</w:t>
      </w:r>
    </w:p>
    <w:p>
      <w:pPr>
        <w:numPr>
          <w:ilvl w:val="0"/>
          <w:numId w:val="1002"/>
        </w:numPr>
        <w:pStyle w:val="Compact"/>
      </w:pPr>
      <w:r>
        <w:rPr>
          <w:bCs/>
          <w:b/>
        </w:rPr>
        <w:t xml:space="preserve">Scope 2:</w:t>
      </w:r>
      <w:r>
        <w:t xml:space="preserve"> </w:t>
      </w:r>
      <w:r>
        <w:t xml:space="preserve">Indirect emissions from the generation of purchased energy (e.g., electricity, heat, steam).</w:t>
      </w:r>
    </w:p>
    <w:p>
      <w:pPr>
        <w:numPr>
          <w:ilvl w:val="0"/>
          <w:numId w:val="1002"/>
        </w:numPr>
        <w:pStyle w:val="Compact"/>
      </w:pPr>
      <w:r>
        <w:rPr>
          <w:bCs/>
          <w:b/>
        </w:rPr>
        <w:t xml:space="preserve">Scope 3:</w:t>
      </w:r>
      <w:r>
        <w:t xml:space="preserve"> </w:t>
      </w:r>
      <w:r>
        <w:t xml:space="preserve">All other indirect emissions that occur in the value chain of the reporting company, both upstream and downstream. This analysis focuses heavily on upstream (materials, transport) and downstream (use phase, end-of-life) Scope 3 emissions.</w:t>
      </w:r>
    </w:p>
    <w:p>
      <w:pPr>
        <w:pStyle w:val="FirstParagraph"/>
      </w:pPr>
      <w:r>
        <w:t xml:space="preserve">The 2026 Land Sector and Removals (LSR) Standard is acknowledged, and while direct land use change for specific raw materials is embedded within industry-average emission factors, explicit direct LSR accounting for product-level is limited by data availability at this granular level. Scope 3 reporting ensures at least 95% coverage by incorporating detailed material, energy, transport, use phase, and end-of-life data.</w:t>
      </w:r>
    </w:p>
    <w:p>
      <w:r>
        <w:pict>
          <v:rect style="width:0;height:1.5pt" o:hralign="center" o:hrstd="t" o:hr="t"/>
        </w:pict>
      </w:r>
    </w:p>
    <w:bookmarkEnd w:id="23"/>
    <w:bookmarkEnd w:id="24"/>
    <w:bookmarkStart w:id="30" w:name="lifecycle-mapping-data-collection"/>
    <w:p>
      <w:pPr>
        <w:pStyle w:val="Heading2"/>
      </w:pPr>
      <w:r>
        <w:t xml:space="preserve">2. &amp; 3. Lifecycle Mapping &amp; Data Collection</w:t>
      </w:r>
    </w:p>
    <w:p>
      <w:pPr>
        <w:pStyle w:val="FirstParagraph"/>
      </w:pPr>
      <w:r>
        <w:t xml:space="preserve">This section details the inputs and processes across the product lifecycle, from raw material acquisition to end-of-life, specifying data sources and assumptions.</w:t>
      </w:r>
    </w:p>
    <w:bookmarkStart w:id="25" w:name="Xd17dd4a219c1301cc5753cca124e4ba16821b8d"/>
    <w:p>
      <w:pPr>
        <w:pStyle w:val="Heading3"/>
      </w:pPr>
      <w:r>
        <w:t xml:space="preserve">2.1. Detailed Bill of Materials (BOM) &amp; Material Inputs (Scope 3 - Upstream)</w:t>
      </w:r>
    </w:p>
    <w:p>
      <w:pPr>
        <w:pStyle w:val="FirstParagraph"/>
      </w:pPr>
      <w:r>
        <w:t xml:space="preserve">The following detailed Bill of Materials (BOM) for jjwrmktzet was used for high-accuracy material impact calculation. The "Total Carbon" value provided for each item directly quantifies its associated cradle-to-gate emissions, reflecting the embedded impacts from raw material extraction, processing, and primary manufacturing processes.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w:t>
            </w:r>
          </w:p>
        </w:tc>
      </w:tr>
    </w:tbl>
    <w:p>
      <w:pPr>
        <w:pStyle w:val="BodyText"/>
      </w:pPr>
      <w:r>
        <w:rPr>
          <w:bCs/>
          <w:b/>
        </w:rPr>
        <w:t xml:space="preserve">Total Material Carbon Footprint:</w:t>
      </w:r>
      <w:r>
        <w:t xml:space="preserve"> </w:t>
      </w:r>
      <w:r>
        <w:t xml:space="preserve">1.25 + 0.5 + 0.5 = 2.25 kg CO2e</w:t>
      </w:r>
    </w:p>
    <w:p>
      <w:pPr>
        <w:pStyle w:val="BodyText"/>
      </w:pPr>
      <w:r>
        <w:rPr>
          <w:bCs/>
          <w:b/>
        </w:rPr>
        <w:t xml:space="preserve">Total Product Weight:</w:t>
      </w:r>
      <w:r>
        <w:t xml:space="preserve"> </w:t>
      </w:r>
      <w:r>
        <w:t xml:space="preserve">0.5 kg (Plastic Casing) + 0.1 kg (Copper Wire) + 0.05 kg (Circuit Board, assuming unit is equivalent to kg for mass calculation) = 0.65 kg</w:t>
      </w:r>
    </w:p>
    <w:bookmarkEnd w:id="25"/>
    <w:bookmarkStart w:id="26" w:name="manufacturing-energy-inputs-scope-2"/>
    <w:p>
      <w:pPr>
        <w:pStyle w:val="Heading3"/>
      </w:pPr>
      <w:r>
        <w:t xml:space="preserve">2.2. Manufacturing Energy Inputs (Scope 2)</w:t>
      </w:r>
    </w:p>
    <w:p>
      <w:pPr>
        <w:pStyle w:val="FirstParagraph"/>
      </w:pPr>
      <w:r>
        <w:t xml:space="preserve">The production phase for jjwrmktzet in China utilizes specific energy customization data:</w:t>
      </w:r>
    </w:p>
    <w:p>
      <w:pPr>
        <w:numPr>
          <w:ilvl w:val="0"/>
          <w:numId w:val="1003"/>
        </w:numPr>
        <w:pStyle w:val="Compact"/>
      </w:pPr>
      <w:r>
        <w:rPr>
          <w:bCs/>
          <w:b/>
        </w:rPr>
        <w:t xml:space="preserve">Energy Intensity (kWh/unit):</w:t>
      </w:r>
      <w:r>
        <w:t xml:space="preserve"> </w:t>
      </w:r>
      <w:r>
        <w:t xml:space="preserve">15 kWh/unit</w:t>
      </w:r>
    </w:p>
    <w:p>
      <w:pPr>
        <w:numPr>
          <w:ilvl w:val="0"/>
          <w:numId w:val="1003"/>
        </w:numPr>
        <w:pStyle w:val="Compact"/>
      </w:pPr>
      <w:r>
        <w:rPr>
          <w:bCs/>
          <w:b/>
        </w:rPr>
        <w:t xml:space="preserve">Renewable Energy Usage:</w:t>
      </w:r>
      <w:r>
        <w:t xml:space="preserve"> </w:t>
      </w:r>
      <w:r>
        <w:t xml:space="preserve">60%</w:t>
      </w:r>
    </w:p>
    <w:p>
      <w:pPr>
        <w:numPr>
          <w:ilvl w:val="0"/>
          <w:numId w:val="1003"/>
        </w:numPr>
        <w:pStyle w:val="Compact"/>
      </w:pPr>
      <w:r>
        <w:rPr>
          <w:bCs/>
          <w:b/>
        </w:rPr>
        <w:t xml:space="preserve">Non-Renewable Energy Usage:</w:t>
      </w:r>
      <w:r>
        <w:t xml:space="preserve"> </w:t>
      </w:r>
      <w:r>
        <w:t xml:space="preserve">40%</w:t>
      </w:r>
    </w:p>
    <w:p>
      <w:pPr>
        <w:numPr>
          <w:ilvl w:val="0"/>
          <w:numId w:val="1003"/>
        </w:numPr>
        <w:pStyle w:val="Compact"/>
      </w:pPr>
      <w:r>
        <w:rPr>
          <w:bCs/>
          <w:b/>
        </w:rPr>
        <w:t xml:space="preserve">China Electricity Grid Emission Factor (2021/2022 Average):</w:t>
      </w:r>
      <w:r>
        <w:t xml:space="preserve"> </w:t>
      </w:r>
      <w:r>
        <w:t xml:space="preserve">0.60 kg CO2e/kWh</w:t>
      </w:r>
    </w:p>
    <w:p>
      <w:pPr>
        <w:numPr>
          <w:ilvl w:val="0"/>
          <w:numId w:val="1003"/>
        </w:numPr>
        <w:pStyle w:val="Compact"/>
      </w:pPr>
      <w:r>
        <w:rPr>
          <w:bCs/>
          <w:b/>
        </w:rPr>
        <w:t xml:space="preserve">Renewable Energy Emission Factor:</w:t>
      </w:r>
      <w:r>
        <w:t xml:space="preserve"> </w:t>
      </w:r>
      <w:r>
        <w:t xml:space="preserve">0.00 kg CO2e/kWh (assuming certified renewable sources with zero direct operational emissions)</w:t>
      </w:r>
    </w:p>
    <w:bookmarkEnd w:id="26"/>
    <w:bookmarkStart w:id="27" w:name="logistics-data-scope-3---upstream"/>
    <w:p>
      <w:pPr>
        <w:pStyle w:val="Heading3"/>
      </w:pPr>
      <w:r>
        <w:t xml:space="preserve">2.3. Logistics Data (Scope 3 - Upstream)</w:t>
      </w:r>
    </w:p>
    <w:p>
      <w:pPr>
        <w:pStyle w:val="FirstParagraph"/>
      </w:pPr>
      <w:r>
        <w:t xml:space="preserve">Transportation of raw materials to the final production facility (China) is a significant component of upstream Scope 3 emissions. The following data were used:</w:t>
      </w:r>
    </w:p>
    <w:p>
      <w:pPr>
        <w:numPr>
          <w:ilvl w:val="0"/>
          <w:numId w:val="1004"/>
        </w:numPr>
        <w:pStyle w:val="Compact"/>
      </w:pPr>
      <w:r>
        <w:rPr>
          <w:bCs/>
          <w:b/>
        </w:rPr>
        <w:t xml:space="preserve">Transport Mode:</w:t>
      </w:r>
      <w:r>
        <w:t xml:space="preserve"> </w:t>
      </w:r>
      <w:r>
        <w:t xml:space="preserve">Road Freight (Heavy Goods Vehicle - HGV). Assumed for primary transport routes based on "Select Mode".</w:t>
      </w:r>
    </w:p>
    <w:p>
      <w:pPr>
        <w:numPr>
          <w:ilvl w:val="0"/>
          <w:numId w:val="1004"/>
        </w:numPr>
        <w:pStyle w:val="Compact"/>
      </w:pPr>
      <w:r>
        <w:rPr>
          <w:bCs/>
          <w:b/>
        </w:rPr>
        <w:t xml:space="preserve">Transport Distance:</w:t>
      </w:r>
      <w:r>
        <w:t xml:space="preserve"> </w:t>
      </w:r>
      <w:r>
        <w:t xml:space="preserve">1500 km (representative distance for a Europe-focused supply chain to China).</w:t>
      </w:r>
    </w:p>
    <w:p>
      <w:pPr>
        <w:numPr>
          <w:ilvl w:val="0"/>
          <w:numId w:val="1004"/>
        </w:numPr>
        <w:pStyle w:val="Compact"/>
      </w:pPr>
      <w:r>
        <w:rPr>
          <w:bCs/>
          <w:b/>
        </w:rPr>
        <w:t xml:space="preserve">Road Freight Emission Factor (HGV):</w:t>
      </w:r>
      <w:r>
        <w:t xml:space="preserve"> </w:t>
      </w:r>
      <w:r>
        <w:t xml:space="preserve">0.09 kg CO2e/tonne-km (average for heavy goods vehicles, accounting for load factors and return trips).</w:t>
      </w:r>
    </w:p>
    <w:p>
      <w:pPr>
        <w:numPr>
          <w:ilvl w:val="0"/>
          <w:numId w:val="1004"/>
        </w:numPr>
        <w:pStyle w:val="Compact"/>
      </w:pPr>
      <w:r>
        <w:rPr>
          <w:bCs/>
          <w:b/>
        </w:rPr>
        <w:t xml:space="preserve">Total weight for transport:</w:t>
      </w:r>
      <w:r>
        <w:t xml:space="preserve"> </w:t>
      </w:r>
      <w:r>
        <w:t xml:space="preserve">0.65 kg (product weight, assuming raw materials roughly equate to final product weight). Converted to tonnes: 0.00065 tonnes.</w:t>
      </w:r>
    </w:p>
    <w:bookmarkEnd w:id="27"/>
    <w:bookmarkStart w:id="28" w:name="use-phase-data-scope-3---downstream"/>
    <w:p>
      <w:pPr>
        <w:pStyle w:val="Heading3"/>
      </w:pPr>
      <w:r>
        <w:t xml:space="preserve">2.4. Use Phase Data (Scope 3 - Downstream)</w:t>
      </w:r>
    </w:p>
    <w:p>
      <w:pPr>
        <w:pStyle w:val="FirstParagraph"/>
      </w:pPr>
      <w:r>
        <w:t xml:space="preserve">The use phase impacts are calculated based on the product\'s expected lifespan and energy consumption:</w:t>
      </w:r>
    </w:p>
    <w:p>
      <w:pPr>
        <w:numPr>
          <w:ilvl w:val="0"/>
          <w:numId w:val="1005"/>
        </w:numPr>
        <w:pStyle w:val="Compact"/>
      </w:pPr>
      <w:r>
        <w:rPr>
          <w:bCs/>
          <w:b/>
        </w:rPr>
        <w:t xml:space="preserve">Product Lifespan:</w:t>
      </w:r>
      <w:r>
        <w:t xml:space="preserve"> </w:t>
      </w:r>
      <w:r>
        <w:t xml:space="preserve">7 years</w:t>
      </w:r>
    </w:p>
    <w:p>
      <w:pPr>
        <w:numPr>
          <w:ilvl w:val="0"/>
          <w:numId w:val="1005"/>
        </w:numPr>
        <w:pStyle w:val="Compact"/>
      </w:pPr>
      <w:r>
        <w:rPr>
          <w:bCs/>
          <w:b/>
        </w:rPr>
        <w:t xml:space="preserve">Energy Consumption in Use:</w:t>
      </w:r>
      <w:r>
        <w:t xml:space="preserve"> </w:t>
      </w:r>
      <w:r>
        <w:t xml:space="preserve">10 kWh/year</w:t>
      </w:r>
    </w:p>
    <w:p>
      <w:pPr>
        <w:numPr>
          <w:ilvl w:val="0"/>
          <w:numId w:val="1005"/>
        </w:numPr>
        <w:pStyle w:val="Compact"/>
      </w:pPr>
      <w:r>
        <w:rPr>
          <w:bCs/>
          <w:b/>
        </w:rPr>
        <w:t xml:space="preserve">Electricity Grid Emission Factor (China):</w:t>
      </w:r>
      <w:r>
        <w:t xml:space="preserve"> </w:t>
      </w:r>
      <w:r>
        <w:t xml:space="preserve">0.60 kg CO2e/kWh</w:t>
      </w:r>
    </w:p>
    <w:bookmarkEnd w:id="28"/>
    <w:bookmarkStart w:id="29" w:name="X2449e76f36fce2c9fec3c701a472f020b80894d"/>
    <w:p>
      <w:pPr>
        <w:pStyle w:val="Heading3"/>
      </w:pPr>
      <w:r>
        <w:t xml:space="preserve">2.5. End-of-Life (EoL) Scenarios (Scope 3 - Downstream)</w:t>
      </w:r>
    </w:p>
    <w:p>
      <w:pPr>
        <w:pStyle w:val="FirstParagraph"/>
      </w:pPr>
      <w:r>
        <w:t xml:space="preserve">End-of-Life impacts incorporate circular economy principles:</w:t>
      </w:r>
    </w:p>
    <w:p>
      <w:pPr>
        <w:numPr>
          <w:ilvl w:val="0"/>
          <w:numId w:val="1006"/>
        </w:numPr>
        <w:pStyle w:val="Compact"/>
      </w:pPr>
      <w:r>
        <w:rPr>
          <w:bCs/>
          <w:b/>
        </w:rPr>
        <w:t xml:space="preserve">Recyclability Percentage:</w:t>
      </w:r>
      <w:r>
        <w:t xml:space="preserve"> </w:t>
      </w:r>
      <w:r>
        <w:t xml:space="preserve">80%</w:t>
      </w:r>
    </w:p>
    <w:p>
      <w:pPr>
        <w:numPr>
          <w:ilvl w:val="0"/>
          <w:numId w:val="1006"/>
        </w:numPr>
        <w:pStyle w:val="Compact"/>
      </w:pPr>
      <w:r>
        <w:rPr>
          <w:bCs/>
          <w:b/>
        </w:rPr>
        <w:t xml:space="preserve">Non-Recyclable Percentage:</w:t>
      </w:r>
      <w:r>
        <w:t xml:space="preserve"> </w:t>
      </w:r>
      <w:r>
        <w:t xml:space="preserve">20%</w:t>
      </w:r>
    </w:p>
    <w:p>
      <w:pPr>
        <w:numPr>
          <w:ilvl w:val="0"/>
          <w:numId w:val="1006"/>
        </w:numPr>
        <w:pStyle w:val="Compact"/>
      </w:pPr>
      <w:r>
        <w:rPr>
          <w:bCs/>
          <w:b/>
        </w:rPr>
        <w:t xml:space="preserve">Circular/Take-back Programs:</w:t>
      </w:r>
      <w:r>
        <w:t xml:space="preserve"> </w:t>
      </w:r>
      <w:r>
        <w:t xml:space="preserve">Yes, operational take-back scheme with 20% product return rate for refurbishment.</w:t>
      </w:r>
    </w:p>
    <w:p>
      <w:pPr>
        <w:numPr>
          <w:ilvl w:val="0"/>
          <w:numId w:val="1006"/>
        </w:numPr>
        <w:pStyle w:val="Compact"/>
      </w:pPr>
      <w:r>
        <w:rPr>
          <w:bCs/>
          <w:b/>
        </w:rPr>
        <w:t xml:space="preserve">Waste to Landfill Emission Factor:</w:t>
      </w:r>
      <w:r>
        <w:t xml:space="preserve"> </w:t>
      </w:r>
      <w:r>
        <w:t xml:space="preserve">0.8 kg CO2e/kg (for mixed municipal solid waste).</w:t>
      </w:r>
    </w:p>
    <w:p>
      <w:pPr>
        <w:numPr>
          <w:ilvl w:val="0"/>
          <w:numId w:val="1006"/>
        </w:numPr>
        <w:pStyle w:val="Compact"/>
      </w:pPr>
      <w:r>
        <w:rPr>
          <w:bCs/>
          <w:b/>
        </w:rPr>
        <w:t xml:space="preserve">Total Product Weight:</w:t>
      </w:r>
      <w:r>
        <w:t xml:space="preserve"> </w:t>
      </w:r>
      <w:r>
        <w:t xml:space="preserve">0.65 kg.</w:t>
      </w:r>
    </w:p>
    <w:p>
      <w:r>
        <w:pict>
          <v:rect style="width:0;height:1.5pt" o:hralign="center" o:hrstd="t" o:hr="t"/>
        </w:pict>
      </w:r>
    </w:p>
    <w:bookmarkEnd w:id="29"/>
    <w:bookmarkEnd w:id="30"/>
    <w:bookmarkStart w:id="37" w:name="emission-calculation"/>
    <w:p>
      <w:pPr>
        <w:pStyle w:val="Heading2"/>
      </w:pPr>
      <w:r>
        <w:t xml:space="preserve">4. Emission Calculation</w:t>
      </w:r>
    </w:p>
    <w:p>
      <w:pPr>
        <w:pStyle w:val="FirstParagraph"/>
      </w:pPr>
      <w:r>
        <w:t xml:space="preserve">Emissions are calculated for each lifecycle stage per functional unit (1.0 unit of jjwrmktzet).</w:t>
      </w:r>
    </w:p>
    <w:bookmarkStart w:id="31" w:name="X5895d2a093bf72327af3b08129fc8f3e171d926"/>
    <w:p>
      <w:pPr>
        <w:pStyle w:val="Heading3"/>
      </w:pPr>
      <w:r>
        <w:t xml:space="preserve">4.1. Materials Acquisition &amp; Processing (Scope 3 - Upstream)</w:t>
      </w:r>
    </w:p>
    <w:p>
      <w:pPr>
        <w:pStyle w:val="FirstParagraph"/>
      </w:pPr>
      <w:r>
        <w:t xml:space="preserve">Based on the provided BOM, the total carbon footprint embedded in the materials is directly summed.</w:t>
      </w:r>
    </w:p>
    <w:p>
      <w:pPr>
        <w:pStyle w:val="BodyText"/>
      </w:pPr>
      <w:r>
        <w:rPr>
          <w:bCs/>
          <w:b/>
        </w:rPr>
        <w:t xml:space="preserve">Calculation:</w:t>
      </w:r>
      <w:r>
        <w:t xml:space="preserve"> </w:t>
      </w:r>
      <w:r>
        <w:t xml:space="preserve">Sum of "Total Carbon" from BOM.</w:t>
      </w:r>
    </w:p>
    <w:p>
      <w:pPr>
        <w:pStyle w:val="BodyText"/>
      </w:pPr>
      <w:r>
        <w:rPr>
          <w:bCs/>
          <w:b/>
        </w:rPr>
        <w:t xml:space="preserve">Material Emissions:</w:t>
      </w:r>
      <w:r>
        <w:t xml:space="preserve"> </w:t>
      </w:r>
      <w:r>
        <w:t xml:space="preserve">2.25 kg CO2e</w:t>
      </w:r>
    </w:p>
    <w:bookmarkEnd w:id="31"/>
    <w:bookmarkStart w:id="32" w:name="manufacturing-energy-scope-2"/>
    <w:p>
      <w:pPr>
        <w:pStyle w:val="Heading3"/>
      </w:pPr>
      <w:r>
        <w:t xml:space="preserve">4.2. Manufacturing Energy (Scope 2)</w:t>
      </w:r>
    </w:p>
    <w:p>
      <w:pPr>
        <w:pStyle w:val="FirstParagraph"/>
      </w:pPr>
      <w:r>
        <w:t xml:space="preserve">The energy consumed during production is split between renewable and non-renewable sources.</w:t>
      </w:r>
    </w:p>
    <w:p>
      <w:pPr>
        <w:numPr>
          <w:ilvl w:val="0"/>
          <w:numId w:val="1007"/>
        </w:numPr>
        <w:pStyle w:val="Compact"/>
      </w:pPr>
      <w:r>
        <w:t xml:space="preserve">Non-Renewable Energy Consumption: 15 kWh/unit * 40% = 6 kWh/unit</w:t>
      </w:r>
    </w:p>
    <w:p>
      <w:pPr>
        <w:numPr>
          <w:ilvl w:val="0"/>
          <w:numId w:val="1007"/>
        </w:numPr>
        <w:pStyle w:val="Compact"/>
      </w:pPr>
      <w:r>
        <w:t xml:space="preserve">Renewable Energy Consumption: 15 kWh/unit * 60% = 9 kWh/unit</w:t>
      </w:r>
    </w:p>
    <w:p>
      <w:pPr>
        <w:pStyle w:val="FirstParagraph"/>
      </w:pPr>
      <w:r>
        <w:rPr>
          <w:bCs/>
          <w:b/>
        </w:rPr>
        <w:t xml:space="preserve">Calculation:</w:t>
      </w:r>
      <w:r>
        <w:t xml:space="preserve"> </w:t>
      </w:r>
      <w:r>
        <w:t xml:space="preserve">(Non-Renewable Energy Consumption * China Grid EF) + (Renewable Energy Consumption * Renewable EF)</w:t>
      </w:r>
    </w:p>
    <w:p>
      <w:pPr>
        <w:pStyle w:val="BodyText"/>
      </w:pPr>
      <w:r>
        <w:rPr>
          <w:bCs/>
          <w:b/>
        </w:rPr>
        <w:t xml:space="preserve">Manufacturing Energy Emissions:</w:t>
      </w:r>
      <w:r>
        <w:t xml:space="preserve"> </w:t>
      </w:r>
      <w:r>
        <w:t xml:space="preserve">(6 kWh/unit * 0.60 kg CO2e/kWh) + (9 kWh/unit * 0.00 kg CO2e/kWh) = 3.60 kg CO2e</w:t>
      </w:r>
    </w:p>
    <w:bookmarkEnd w:id="32"/>
    <w:bookmarkStart w:id="33" w:name="X5bde42923565f875cba7ae9ba939d69780f2741"/>
    <w:p>
      <w:pPr>
        <w:pStyle w:val="Heading3"/>
      </w:pPr>
      <w:r>
        <w:t xml:space="preserve">4.3. Upstream Transportation (Scope 3 - Upstream)</w:t>
      </w:r>
    </w:p>
    <w:p>
      <w:pPr>
        <w:pStyle w:val="FirstParagraph"/>
      </w:pPr>
      <w:r>
        <w:t xml:space="preserve">Transportation emissions are calculated based on the total product weight being transported over the specified distance.</w:t>
      </w:r>
    </w:p>
    <w:p>
      <w:pPr>
        <w:pStyle w:val="BodyText"/>
      </w:pPr>
      <w:r>
        <w:rPr>
          <w:bCs/>
          <w:b/>
        </w:rPr>
        <w:t xml:space="preserve">Calculation:</w:t>
      </w:r>
      <w:r>
        <w:t xml:space="preserve"> </w:t>
      </w:r>
      <w:r>
        <w:t xml:space="preserve">(Total Product Weight in tonnes) * Transport Distance * Road Freight EF</w:t>
      </w:r>
    </w:p>
    <w:p>
      <w:pPr>
        <w:pStyle w:val="BodyText"/>
      </w:pPr>
      <w:r>
        <w:rPr>
          <w:bCs/>
          <w:b/>
        </w:rPr>
        <w:t xml:space="preserve">Upstream Transport Emissions:</w:t>
      </w:r>
      <w:r>
        <w:t xml:space="preserve"> </w:t>
      </w:r>
      <w:r>
        <w:t xml:space="preserve">(0.65 kg / 1000 kg/tonne) * 1500 km * 0.09 kg CO2e/tonne-km = 0.00065 tonnes * 1500 km * 0.09 kg CO2e/tonne-km = 0.08775 kg CO2e</w:t>
      </w:r>
    </w:p>
    <w:bookmarkEnd w:id="33"/>
    <w:bookmarkStart w:id="34" w:name="use-phase-scope-3---downstream"/>
    <w:p>
      <w:pPr>
        <w:pStyle w:val="Heading3"/>
      </w:pPr>
      <w:r>
        <w:t xml:space="preserve">4.4. Use Phase (Scope 3 - Downstream)</w:t>
      </w:r>
    </w:p>
    <w:p>
      <w:pPr>
        <w:pStyle w:val="FirstParagraph"/>
      </w:pPr>
      <w:r>
        <w:t xml:space="preserve">Emissions from the product\'s energy consumption during its lifespan.</w:t>
      </w:r>
    </w:p>
    <w:p>
      <w:pPr>
        <w:pStyle w:val="BodyText"/>
      </w:pPr>
      <w:r>
        <w:rPr>
          <w:bCs/>
          <w:b/>
        </w:rPr>
        <w:t xml:space="preserve">Calculation:</w:t>
      </w:r>
      <w:r>
        <w:t xml:space="preserve"> </w:t>
      </w:r>
      <w:r>
        <w:t xml:space="preserve">Product Lifespan * Energy Consumption in Use * China Grid EF</w:t>
      </w:r>
    </w:p>
    <w:p>
      <w:pPr>
        <w:pStyle w:val="BodyText"/>
      </w:pPr>
      <w:r>
        <w:rPr>
          <w:bCs/>
          <w:b/>
        </w:rPr>
        <w:t xml:space="preserve">Use Phase Emissions:</w:t>
      </w:r>
      <w:r>
        <w:t xml:space="preserve"> </w:t>
      </w:r>
      <w:r>
        <w:t xml:space="preserve">7 years * 10 kWh/year * 0.60 kg CO2e/kWh = 42.00 kg CO2e</w:t>
      </w:r>
    </w:p>
    <w:bookmarkEnd w:id="34"/>
    <w:bookmarkStart w:id="35" w:name="X22bf9935b5cb9faa5a8752fa0ffdc118032ae8d"/>
    <w:p>
      <w:pPr>
        <w:pStyle w:val="Heading3"/>
      </w:pPr>
      <w:r>
        <w:t xml:space="preserve">4.5. End-of-Life (EoL) Scenarios (Scope 3 - Downstream)</w:t>
      </w:r>
    </w:p>
    <w:p>
      <w:pPr>
        <w:pStyle w:val="FirstParagraph"/>
      </w:pPr>
      <w:r>
        <w:t xml:space="preserve">EoL emissions consider both disposal to landfill and the impact of recycling and circular programs. For the recycled portion, a credit for avoided landfill emissions is applied. The refurbishment program is noted as a further reduction opportunity.</w:t>
      </w:r>
    </w:p>
    <w:p>
      <w:pPr>
        <w:pStyle w:val="BodyText"/>
      </w:pPr>
      <w:r>
        <w:rPr>
          <w:bCs/>
          <w:b/>
        </w:rPr>
        <w:t xml:space="preserve">Disposed to Landfill:</w:t>
      </w:r>
      <w:r>
        <w:t xml:space="preserve"> </w:t>
      </w:r>
      <w:r>
        <w:t xml:space="preserve">20% of total product weight.</w:t>
      </w:r>
    </w:p>
    <w:p>
      <w:pPr>
        <w:pStyle w:val="BodyText"/>
      </w:pPr>
      <w:r>
        <w:rPr>
          <w:bCs/>
          <w:b/>
        </w:rPr>
        <w:t xml:space="preserve">Recycled:</w:t>
      </w:r>
      <w:r>
        <w:t xml:space="preserve"> </w:t>
      </w:r>
      <w:r>
        <w:t xml:space="preserve">80% of total product weight.</w:t>
      </w:r>
    </w:p>
    <w:p>
      <w:pPr>
        <w:numPr>
          <w:ilvl w:val="0"/>
          <w:numId w:val="1008"/>
        </w:numPr>
        <w:pStyle w:val="Compact"/>
      </w:pPr>
      <w:r>
        <w:t xml:space="preserve">Emissions from disposed portion: (Total Product Weight * Non-Recyclable Percentage) * Waste to Landfill EF</w:t>
      </w:r>
    </w:p>
    <w:p>
      <w:pPr>
        <w:numPr>
          <w:ilvl w:val="0"/>
          <w:numId w:val="1008"/>
        </w:numPr>
        <w:pStyle w:val="Compact"/>
      </w:pPr>
      <w:r>
        <w:t xml:space="preserve">Avoided emissions from recycled portion: (Total Product Weight * Recyclability Percentage) * Waste to Landfill EF (as a credit, representing avoided disposal burden).</w:t>
      </w:r>
    </w:p>
    <w:p>
      <w:pPr>
        <w:pStyle w:val="FirstParagraph"/>
      </w:pPr>
      <w:r>
        <w:rPr>
          <w:bCs/>
          <w:b/>
        </w:rPr>
        <w:t xml:space="preserve">Calculation for Landfill (Burden):</w:t>
      </w:r>
      <w:r>
        <w:t xml:space="preserve"> </w:t>
      </w:r>
      <w:r>
        <w:t xml:space="preserve">(0.65 kg * 0.20) * 0.8 kg CO2e/kg = 0.13 kg * 0.8 kg CO2e/kg = 0.104 kg CO2e</w:t>
      </w:r>
    </w:p>
    <w:p>
      <w:pPr>
        <w:pStyle w:val="BodyText"/>
      </w:pPr>
      <w:r>
        <w:rPr>
          <w:bCs/>
          <w:b/>
        </w:rPr>
        <w:t xml:space="preserve">Calculation for Recycling (Credit - Avoided Landfill):</w:t>
      </w:r>
      <w:r>
        <w:t xml:space="preserve"> </w:t>
      </w:r>
      <w:r>
        <w:t xml:space="preserve">-(0.65 kg * 0.80) * 0.8 kg CO2e/kg = -0.52 kg * 0.8 kg CO2e/kg = -0.416 kg CO2e</w:t>
      </w:r>
    </w:p>
    <w:p>
      <w:pPr>
        <w:pStyle w:val="BodyText"/>
      </w:pPr>
      <w:r>
        <w:rPr>
          <w:bCs/>
          <w:b/>
        </w:rPr>
        <w:t xml:space="preserve">Net End-of-Life Emissions:</w:t>
      </w:r>
      <w:r>
        <w:t xml:space="preserve"> </w:t>
      </w:r>
      <w:r>
        <w:t xml:space="preserve">0.104 kg CO2e - 0.416 kg CO2e = -0.312 kg CO2e</w:t>
      </w:r>
    </w:p>
    <w:p>
      <w:pPr>
        <w:pStyle w:val="BodyText"/>
      </w:pPr>
      <w:r>
        <w:t xml:space="preserve">The operational take-back scheme with a 20% product return rate for refurbishment further reduces the lifecycle impact, as refurbished products extend lifespan and reduce the need for new production. This is an additional benefit beyond the recycling credit calculated above, contributing to circularity.</w:t>
      </w:r>
    </w:p>
    <w:bookmarkEnd w:id="35"/>
    <w:bookmarkStart w:id="36" w:name="X299a3717db401fbc63eac38de0814f3ad8939f4"/>
    <w:p>
      <w:pPr>
        <w:pStyle w:val="Heading3"/>
      </w:pPr>
      <w:r>
        <w:t xml:space="preserve">4.6.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2.250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3.600</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0.088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42.000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-0.312</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47.626</w:t>
            </w:r>
          </w:p>
        </w:tc>
      </w:tr>
    </w:tbl>
    <w:p>
      <w:r>
        <w:pict>
          <v:rect style="width:0;height:1.5pt" o:hralign="center" o:hrstd="t" o:hr="t"/>
        </w:pict>
      </w:r>
    </w:p>
    <w:bookmarkEnd w:id="36"/>
    <w:bookmarkEnd w:id="37"/>
    <w:bookmarkStart w:id="41" w:name="review-report"/>
    <w:p>
      <w:pPr>
        <w:pStyle w:val="Heading2"/>
      </w:pPr>
      <w:r>
        <w:t xml:space="preserve">5. Review &amp; Report</w:t>
      </w:r>
    </w:p>
    <w:bookmarkStart w:id="38" w:name="emission-hotspots"/>
    <w:p>
      <w:pPr>
        <w:pStyle w:val="Heading3"/>
      </w:pPr>
      <w:r>
        <w:t xml:space="preserve">5.1. Emission Hotspots</w:t>
      </w:r>
    </w:p>
    <w:p>
      <w:pPr>
        <w:pStyle w:val="FirstParagraph"/>
      </w:pPr>
      <w:r>
        <w:t xml:space="preserve">The analysis reveals the following emission hotspots for jjwrmktzet:</w:t>
      </w:r>
    </w:p>
    <w:p>
      <w:pPr>
        <w:numPr>
          <w:ilvl w:val="0"/>
          <w:numId w:val="1009"/>
        </w:numPr>
        <w:pStyle w:val="Compact"/>
      </w:pPr>
      <w:r>
        <w:rPr>
          <w:bCs/>
          <w:b/>
        </w:rPr>
        <w:t xml:space="preserve">Use Phase (42.00 kg CO2e):</w:t>
      </w:r>
      <w:r>
        <w:t xml:space="preserve"> </w:t>
      </w:r>
      <w:r>
        <w:t xml:space="preserve">This is overwhelmingly the largest contributor, accounting for approximately 88.2% of the total PCF. This is primarily due to the product\'s energy consumption over its 7-year lifespan and the carbon intensity of the electricity grid in China.</w:t>
      </w:r>
    </w:p>
    <w:p>
      <w:pPr>
        <w:numPr>
          <w:ilvl w:val="0"/>
          <w:numId w:val="1009"/>
        </w:numPr>
        <w:pStyle w:val="Compact"/>
      </w:pPr>
      <w:r>
        <w:rPr>
          <w:bCs/>
          <w:b/>
        </w:rPr>
        <w:t xml:space="preserve">Manufacturing Energy (3.60 kg CO2e):</w:t>
      </w:r>
      <w:r>
        <w:t xml:space="preserve"> </w:t>
      </w:r>
      <w:r>
        <w:t xml:space="preserve">Represents about 7.6% of the total footprint. While 60% renewable energy is used, the remaining 40% relies on the grid mix, contributing significantly.</w:t>
      </w:r>
    </w:p>
    <w:p>
      <w:pPr>
        <w:numPr>
          <w:ilvl w:val="0"/>
          <w:numId w:val="1009"/>
        </w:numPr>
        <w:pStyle w:val="Compact"/>
      </w:pPr>
      <w:r>
        <w:rPr>
          <w:bCs/>
          <w:b/>
        </w:rPr>
        <w:t xml:space="preserve">Materials Acquisition &amp; Processing (2.25 kg CO2e):</w:t>
      </w:r>
      <w:r>
        <w:t xml:space="preserve"> </w:t>
      </w:r>
      <w:r>
        <w:t xml:space="preserve">Contributes approximately 4.7% of the total footprint. This highlights the importance of material selection and design.</w:t>
      </w:r>
    </w:p>
    <w:p>
      <w:pPr>
        <w:numPr>
          <w:ilvl w:val="0"/>
          <w:numId w:val="1009"/>
        </w:numPr>
        <w:pStyle w:val="Compact"/>
      </w:pPr>
      <w:r>
        <w:rPr>
          <w:bCs/>
          <w:b/>
        </w:rPr>
        <w:t xml:space="preserve">End-of-Life (Net -0.312 kg CO2e):</w:t>
      </w:r>
      <w:r>
        <w:t xml:space="preserve"> </w:t>
      </w:r>
      <w:r>
        <w:t xml:space="preserve">Shows a net negative impact due to the high recyclability percentage (80%) and the credit for avoided landfill emissions. The presence of a take-back program for refurbishment further enhances the circularity and reduces overall EoL burdens.</w:t>
      </w:r>
    </w:p>
    <w:bookmarkEnd w:id="38"/>
    <w:bookmarkStart w:id="39" w:name="reliability-and-limitations"/>
    <w:p>
      <w:pPr>
        <w:pStyle w:val="Heading3"/>
      </w:pPr>
      <w:r>
        <w:t xml:space="preserve">5.2. Reliability and Limitations</w:t>
      </w:r>
    </w:p>
    <w:p>
      <w:pPr>
        <w:pStyle w:val="FirstParagraph"/>
      </w:pPr>
      <w:r>
        <w:t xml:space="preserve">The reliability of this PCF analysis is high due to the adherence to the GHG Protocol and the use of specified, detailed data where available. However, certain limitations and assumptions are noted:</w:t>
      </w:r>
    </w:p>
    <w:p>
      <w:pPr>
        <w:numPr>
          <w:ilvl w:val="0"/>
          <w:numId w:val="1010"/>
        </w:numPr>
        <w:pStyle w:val="Compact"/>
      </w:pPr>
      <w:r>
        <w:rPr>
          <w:bCs/>
          <w:b/>
        </w:rPr>
        <w:t xml:space="preserve">Emission Factor Specificity:</w:t>
      </w:r>
      <w:r>
        <w:t xml:space="preserve"> </w:t>
      </w:r>
      <w:r>
        <w:t xml:space="preserve">While industry-standard (Ecoinvent/DEFRA aligned) emission factors are used, some are generalized averages (e.g., for road freight, waste to landfill) due to the absence of highly specific, product-category-specific factors in public databases for every single process.</w:t>
      </w:r>
    </w:p>
    <w:p>
      <w:pPr>
        <w:numPr>
          <w:ilvl w:val="0"/>
          <w:numId w:val="1010"/>
        </w:numPr>
        <w:pStyle w:val="Compact"/>
      </w:pPr>
      <w:r>
        <w:rPr>
          <w:bCs/>
          <w:b/>
        </w:rPr>
        <w:t xml:space="preserve">BOM "Total Carbon":</w:t>
      </w:r>
      <w:r>
        <w:t xml:space="preserve"> </w:t>
      </w:r>
      <w:r>
        <w:t xml:space="preserve">The "Total Carbon" values provided in the BOM were directly used as per instruction, assuming they represent the full cradle-to-gate impact for each material item.</w:t>
      </w:r>
    </w:p>
    <w:p>
      <w:pPr>
        <w:numPr>
          <w:ilvl w:val="0"/>
          <w:numId w:val="1010"/>
        </w:numPr>
        <w:pStyle w:val="Compact"/>
      </w:pPr>
      <w:r>
        <w:rPr>
          <w:bCs/>
          <w:b/>
        </w:rPr>
        <w:t xml:space="preserve">"Unit" in BOM:</w:t>
      </w:r>
      <w:r>
        <w:t xml:space="preserve"> </w:t>
      </w:r>
      <w:r>
        <w:t xml:space="preserve">For the "Circuit Board" with "unit" as its unit, an assumption was made to treat 0.05 unit as 0.05 kg for total product weight calculation, which impacts transport and EoL calculations. More precise mass data for each component would enhance accuracy.</w:t>
      </w:r>
    </w:p>
    <w:p>
      <w:pPr>
        <w:numPr>
          <w:ilvl w:val="0"/>
          <w:numId w:val="1010"/>
        </w:numPr>
        <w:pStyle w:val="Compact"/>
      </w:pPr>
      <w:r>
        <w:rPr>
          <w:bCs/>
          <w:b/>
        </w:rPr>
        <w:t xml:space="preserve">System Boundary:</w:t>
      </w:r>
      <w:r>
        <w:t xml:space="preserve"> </w:t>
      </w:r>
      <w:r>
        <w:t xml:space="preserve">The "factory_gate" boundary means distribution from the factory to the end-customer and certain aspects of post-consumer end-of-life are not fully captured, except for the specified last-mile delivery. The use phase, however, extends beyond the factory gate.</w:t>
      </w:r>
    </w:p>
    <w:p>
      <w:pPr>
        <w:numPr>
          <w:ilvl w:val="0"/>
          <w:numId w:val="1010"/>
        </w:numPr>
        <w:pStyle w:val="Compact"/>
      </w:pPr>
      <w:r>
        <w:rPr>
          <w:bCs/>
          <w:b/>
        </w:rPr>
        <w:t xml:space="preserve">LSR Standard:</w:t>
      </w:r>
      <w:r>
        <w:t xml:space="preserve"> </w:t>
      </w:r>
      <w:r>
        <w:t xml:space="preserve">While acknowledged, specific direct LSR quantification at the product material level beyond embedded factors is not included due to data constraints.</w:t>
      </w:r>
    </w:p>
    <w:p>
      <w:pPr>
        <w:numPr>
          <w:ilvl w:val="0"/>
          <w:numId w:val="1010"/>
        </w:numPr>
        <w:pStyle w:val="Compact"/>
      </w:pPr>
      <w:r>
        <w:rPr>
          <w:bCs/>
          <w:b/>
        </w:rPr>
        <w:t xml:space="preserve">Circular Economy Impacts:</w:t>
      </w:r>
      <w:r>
        <w:t xml:space="preserve"> </w:t>
      </w:r>
      <w:r>
        <w:t xml:space="preserve">The benefits of the take-back program for refurbishment are noted qualitatively and partially through the recycling credit. A full quantification of refurbishment benefits would require a comparative analysis with new product manufacturing.</w:t>
      </w:r>
    </w:p>
    <w:bookmarkEnd w:id="39"/>
    <w:bookmarkStart w:id="40" w:name="recommendations-for-reduction"/>
    <w:p>
      <w:pPr>
        <w:pStyle w:val="Heading3"/>
      </w:pPr>
      <w:r>
        <w:t xml:space="preserve">5.3. Recommendations for Reduction</w:t>
      </w:r>
    </w:p>
    <w:p>
      <w:pPr>
        <w:numPr>
          <w:ilvl w:val="0"/>
          <w:numId w:val="1011"/>
        </w:numPr>
        <w:pStyle w:val="Compact"/>
      </w:pPr>
      <w:r>
        <w:rPr>
          <w:bCs/>
          <w:b/>
        </w:rPr>
        <w:t xml:space="preserve">Energy Efficiency in Use Phase:</w:t>
      </w:r>
      <w:r>
        <w:t xml:space="preserve"> </w:t>
      </w:r>
      <w:r>
        <w:t xml:space="preserve">Focus on reducing the product\'s energy consumption during its operational lifespan through design optimization, more efficient components, or smart energy management features.</w:t>
      </w:r>
    </w:p>
    <w:p>
      <w:pPr>
        <w:numPr>
          <w:ilvl w:val="0"/>
          <w:numId w:val="1011"/>
        </w:numPr>
        <w:pStyle w:val="Compact"/>
      </w:pPr>
      <w:r>
        <w:rPr>
          <w:bCs/>
          <w:b/>
        </w:rPr>
        <w:t xml:space="preserve">Renewable Energy Sourcing (Production &amp; Use):</w:t>
      </w:r>
      <w:r>
        <w:t xml:space="preserve"> </w:t>
      </w:r>
      <w:r>
        <w:t xml:space="preserve">Increase the percentage of renewable energy used in the manufacturing facility in China (Scope 2). Investigate and promote the use of renewable electricity for the product\'s end-users (Scope 3, downstream), potentially through providing renewable energy certifications or promoting green tariffs.</w:t>
      </w:r>
    </w:p>
    <w:p>
      <w:pPr>
        <w:numPr>
          <w:ilvl w:val="0"/>
          <w:numId w:val="1011"/>
        </w:numPr>
        <w:pStyle w:val="Compact"/>
      </w:pPr>
      <w:r>
        <w:rPr>
          <w:bCs/>
          <w:b/>
        </w:rPr>
        <w:t xml:space="preserve">Material Optimization:</w:t>
      </w:r>
      <w:r>
        <w:t xml:space="preserve"> </w:t>
      </w:r>
      <w:r>
        <w:t xml:space="preserve">Explore lighter-weight materials or materials with lower embedded carbon footprints for the plastic casing and other components. Optimize design to reduce material usage without compromising functionality.</w:t>
      </w:r>
    </w:p>
    <w:p>
      <w:pPr>
        <w:numPr>
          <w:ilvl w:val="0"/>
          <w:numId w:val="1011"/>
        </w:numPr>
        <w:pStyle w:val="Compact"/>
      </w:pPr>
      <w:r>
        <w:rPr>
          <w:bCs/>
          <w:b/>
        </w:rPr>
        <w:t xml:space="preserve">Supply Chain Engagement:</w:t>
      </w:r>
      <w:r>
        <w:t xml:space="preserve"> </w:t>
      </w:r>
      <w:r>
        <w:t xml:space="preserve">Work with suppliers to understand and reduce their upstream emissions (Scope 3), particularly for high-impact materials.</w:t>
      </w:r>
    </w:p>
    <w:p>
      <w:pPr>
        <w:numPr>
          <w:ilvl w:val="0"/>
          <w:numId w:val="1011"/>
        </w:numPr>
        <w:pStyle w:val="Compact"/>
      </w:pPr>
      <w:r>
        <w:rPr>
          <w:bCs/>
          <w:b/>
        </w:rPr>
        <w:t xml:space="preserve">Enhance Circularity:</w:t>
      </w:r>
      <w:r>
        <w:t xml:space="preserve"> </w:t>
      </w:r>
      <w:r>
        <w:t xml:space="preserve">Continue to strengthen take-back and refurbishment programs, and explore design for disassembly and material recovery to maximize the benefits of the circular economy.</w:t>
      </w:r>
    </w:p>
    <w:p>
      <w:r>
        <w:pict>
          <v:rect style="width:0;height:1.5pt" o:hralign="center" o:hrstd="t" o:hr="t"/>
        </w:pict>
      </w:r>
    </w:p>
    <w:p>
      <w:pPr>
        <w:pStyle w:val="FirstParagraph"/>
      </w:pPr>
      <w:r>
        <w:t xml:space="preserve">This report provides a comprehensive overview of the product\'s carbon footprint, identifying key areas for strategic intervention to drive sustainability improvements.</w:t>
      </w:r>
    </w:p>
    <w:p>
      <w:pPr>
        <w:pStyle w:val="BodyText"/>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jjwrmktzet</dc:title>
  <dc:creator/>
  <dc:description>Detailed Product Carbon Footprint (PCF) analysis for product jjwrmktzet, adhering to GHG Protocol standards and 2026 LSR Update requirements.</dc:description>
  <dc:language>en</dc:language>
  <cp:keywords/>
  <dcterms:created xsi:type="dcterms:W3CDTF">2026-07-15T20:42:28Z</dcterms:created>
  <dcterms:modified xsi:type="dcterms:W3CDTF">2026-07-15T20:42:28Z</dcterms:modified>
</cp:coreProperties>
</file>

<file path=docProps/custom.xml><?xml version="1.0" encoding="utf-8"?>
<Properties xmlns="http://schemas.openxmlformats.org/officeDocument/2006/custom-properties" xmlns:vt="http://schemas.openxmlformats.org/officeDocument/2006/docPropsVTypes"/>
</file>