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jjqdsuyhvu</w:t>
      </w:r>
    </w:p>
    <w:p>
      <w:pPr>
        <w:pStyle w:val="FirstParagraph"/>
      </w:pPr>
      <w:r>
        <w:rPr>
          <w:bCs/>
          <w:b/>
        </w:rPr>
        <w:t xml:space="preserve">carboncalcpcf.com</w:t>
      </w:r>
    </w:p>
    <w:bookmarkStart w:id="21" w:name="product-carbon-footprint-analysis"/>
    <w:p>
      <w:pPr>
        <w:pStyle w:val="Heading1"/>
      </w:pPr>
      <w:r>
        <w:t xml:space="preserve">Product Carbon Footprint Analysis</w:t>
      </w:r>
    </w:p>
    <w:bookmarkStart w:id="20" w:name="for-product-jjqdsuyhvu"/>
    <w:p>
      <w:pPr>
        <w:pStyle w:val="Heading2"/>
      </w:pPr>
      <w:r>
        <w:t xml:space="preserve">For Product: jjqdsuyhvu</w:t>
      </w:r>
    </w:p>
    <w:p>
      <w:pPr>
        <w:pStyle w:val="FirstParagraph"/>
      </w:pPr>
      <w:r>
        <w:rPr>
          <w:bCs/>
          <w:b/>
        </w:rPr>
        <w:t xml:space="preserve">Company Name:</w:t>
      </w:r>
      <w:r>
        <w:t xml:space="preserve"> </w:t>
      </w:r>
      <w:r>
        <w:t xml:space="preserve">pkfswwmvgy</w:t>
      </w:r>
    </w:p>
    <w:p>
      <w:pPr>
        <w:pStyle w:val="BodyText"/>
      </w:pPr>
      <w:r>
        <w:rPr>
          <w:bCs/>
          <w:b/>
        </w:rPr>
        <w:t xml:space="preserve">Senior Sustainability Consultant:</w:t>
      </w:r>
      <w:r>
        <w:t xml:space="preserve"> </w:t>
      </w:r>
      <w:r>
        <w:t xml:space="preserve">osmgqjqyit</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incorporating specific parameters provided. Where explicit numerical values were not provided for quantitative parameters, reasonable assumptions based on the context have been made for illustrative calculation purposes. The accuracy of the results is dependent on the completeness and precision of the input data.</w:t>
      </w:r>
    </w:p>
    <w:bookmarkEnd w:id="20"/>
    <w:bookmarkEnd w:id="21"/>
    <w:bookmarkStart w:id="46" w:name="X6a92bf2c50ce294eb72860467cede0fbae1db63"/>
    <w:p>
      <w:pPr>
        <w:pStyle w:val="Heading1"/>
      </w:pPr>
      <w:r>
        <w:t xml:space="preserve">Product Carbon Footprint Analysis for jjqdsuyhvu</w:t>
      </w:r>
    </w:p>
    <w:p>
      <w:pPr>
        <w:pStyle w:val="FirstParagraph"/>
      </w:pPr>
      <w:r>
        <w:rPr>
          <w:bCs/>
          <w:b/>
        </w:rPr>
        <w:t xml:space="preserve">Generated Date:</w:t>
      </w:r>
      <w:r>
        <w:t xml:space="preserve"> </w:t>
      </w:r>
      <w:r>
        <w:t xml:space="preserve">June 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jjqdsuyhvu</w:t>
      </w:r>
      <w:r>
        <w:t xml:space="preserve">, developed for</w:t>
      </w:r>
      <w:r>
        <w:t xml:space="preserve"> </w:t>
      </w:r>
      <w:r>
        <w:rPr>
          <w:bCs/>
          <w:b/>
        </w:rPr>
        <w:t xml:space="preserve">pkfswwmvgy</w:t>
      </w:r>
      <w:r>
        <w:t xml:space="preserve">. Conducted by</w:t>
      </w:r>
      <w:r>
        <w:t xml:space="preserve"> </w:t>
      </w:r>
      <w:r>
        <w:rPr>
          <w:bCs/>
          <w:b/>
        </w:rPr>
        <w:t xml:space="preserve">osmgqjqyit</w:t>
      </w:r>
      <w:r>
        <w:t xml:space="preserve">, Senior Sustainability Consultant, this analysis adheres to the GHG Protocol standards, including considerations for the upcoming 2026 Land Sector and Removals (LSR) update. The assessment covers the product\'s lifecycle from raw material acquisition through manufacturing, transport, use, and end-of-life, within a cradle-to-gate system boundary for direct operations, and extending to downstream Scope 3 categories. The primary objective is to quantify the greenhouse gas (GHG) emissions associated with each lifecycle stage, identify emission hotspots, and provide a foundation for targeted decarbonization strategies, ensuring at least 95% coverage for Scope 3 reporting as per 2026 requirements. Due to the placeholder nature of some input parameters, numerical assumptions have been made for calculation purposes, which are explicitly stated where applicable.</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first step in a Product Carbon Footprint (PCF) analysis is to clearly define the scope of the assessment, ensuring consistency and comparability of results.</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jjqdsuyhvu</w:t>
      </w:r>
    </w:p>
    <w:p>
      <w:pPr>
        <w:numPr>
          <w:ilvl w:val="0"/>
          <w:numId w:val="1001"/>
        </w:numPr>
        <w:pStyle w:val="Compact"/>
      </w:pPr>
      <w:r>
        <w:t xml:space="preserve">This serves as the reference unit to which all inputs and outputs are related, enabling a standardized measurement of environmental impact per product.</w:t>
      </w:r>
    </w:p>
    <w:bookmarkEnd w:id="23"/>
    <w:bookmarkStart w:id="24" w:name="system-boundary"/>
    <w:p>
      <w:pPr>
        <w:pStyle w:val="Heading3"/>
      </w:pPr>
      <w:r>
        <w:t xml:space="preserve">System Boundary</w:t>
      </w:r>
    </w:p>
    <w:p>
      <w:pPr>
        <w:numPr>
          <w:ilvl w:val="0"/>
          <w:numId w:val="1002"/>
        </w:numPr>
        <w:pStyle w:val="Compact"/>
      </w:pPr>
      <w:r>
        <w:rPr>
          <w:bCs/>
          <w:b/>
        </w:rPr>
        <w:t xml:space="preserve">System Boundary:</w:t>
      </w:r>
      <w:r>
        <w:t xml:space="preserve"> </w:t>
      </w:r>
      <w:r>
        <w:t xml:space="preserve">factory_gate. This implies a "cradle-to-gate" assessment for the direct production phase, covering raw material acquisition, manufacturing, and transport to the factory gate. However, as per the detailed requirements, the analysis extends to include downstream activities such as outbound transport, use phase, and end-of-life, effectively approaching a "cradle-to-grave" perspective for comprehensive Scope 3 coverage.</w:t>
      </w:r>
    </w:p>
    <w:p>
      <w:pPr>
        <w:numPr>
          <w:ilvl w:val="0"/>
          <w:numId w:val="1002"/>
        </w:numPr>
        <w:pStyle w:val="Compact"/>
      </w:pPr>
      <w:r>
        <w:rPr>
          <w:bCs/>
          <w:b/>
        </w:rPr>
        <w:t xml:space="preserve">Included Stages:</w:t>
      </w:r>
      <w:r>
        <w:t xml:space="preserve"> </w:t>
      </w:r>
      <w:r>
        <w:t xml:space="preserve">Raw material extraction and processing, product manufacturing, inbound logistics, outbound logistics, product use phase, and end-of-life treatment.</w:t>
      </w:r>
    </w:p>
    <w:p>
      <w:pPr>
        <w:numPr>
          <w:ilvl w:val="0"/>
          <w:numId w:val="1002"/>
        </w:numPr>
        <w:pStyle w:val="Compact"/>
      </w:pPr>
      <w:r>
        <w:rPr>
          <w:bCs/>
          <w:b/>
        </w:rPr>
        <w:t xml:space="preserve">Exclusions:</w:t>
      </w:r>
      <w:r>
        <w:t xml:space="preserve"> </w:t>
      </w:r>
      <w:r>
        <w:t xml:space="preserve">Capital goods, employee commuting, business travel, and other indirect corporate-level emissions not directly attributable to the product\'s lifecycle (these would typically be covered in a corporate GHG inventory).</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geographic scope guides the selection of region-specific emission factors for energy and transportation where available and relevant.</w:t>
      </w:r>
    </w:p>
    <w:bookmarkEnd w:id="25"/>
    <w:bookmarkStart w:id="26" w:name="allocation"/>
    <w:p>
      <w:pPr>
        <w:pStyle w:val="Heading3"/>
      </w:pPr>
      <w:r>
        <w:t xml:space="preserve">Allocation</w:t>
      </w:r>
    </w:p>
    <w:p>
      <w:pPr>
        <w:numPr>
          <w:ilvl w:val="0"/>
          <w:numId w:val="1004"/>
        </w:numPr>
        <w:pStyle w:val="Compact"/>
      </w:pPr>
      <w:r>
        <w:rPr>
          <w:bCs/>
          <w:b/>
        </w:rPr>
        <w:t xml:space="preserve">Allocation Principle:</w:t>
      </w:r>
      <w:r>
        <w:t xml:space="preserve"> </w:t>
      </w:r>
      <w:r>
        <w:t xml:space="preserve">Mass-based allocation is applied for co-products and waste, where emissions are distributed proportionally to the mass of the output. For multi-functional processes, appropriate allocation methods (e.g., physical, economic, or avoided burden) are applied based on GHG Protocol guidelines to avoid double-counting.</w:t>
      </w:r>
    </w:p>
    <w:bookmarkEnd w:id="26"/>
    <w:bookmarkStart w:id="27" w:name="accounting-standard"/>
    <w:p>
      <w:pPr>
        <w:pStyle w:val="Heading3"/>
      </w:pPr>
      <w:r>
        <w:t xml:space="preserve">Accounting Standard</w:t>
      </w:r>
    </w:p>
    <w:p>
      <w:pPr>
        <w:numPr>
          <w:ilvl w:val="0"/>
          <w:numId w:val="1005"/>
        </w:numPr>
        <w:pStyle w:val="Compact"/>
      </w:pPr>
      <w:r>
        <w:rPr>
          <w:bCs/>
          <w:b/>
        </w:rPr>
        <w:t xml:space="preserve">Accounting Standard:</w:t>
      </w:r>
      <w:r>
        <w:t xml:space="preserve"> </w:t>
      </w:r>
      <w:r>
        <w:t xml:space="preserve">GHG Protocol. This analysis adheres to the Greenhouse Gas Protocol\'s Product Life Cycle Accounting and Reporting Standard. The GHG Protocol categorizes emissions into three scopes to distinguish direct and indirect emissions along the value chain.</w:t>
      </w:r>
    </w:p>
    <w:p>
      <w:pPr>
        <w:numPr>
          <w:ilvl w:val="0"/>
          <w:numId w:val="1005"/>
        </w:numPr>
        <w:pStyle w:val="Compact"/>
      </w:pPr>
      <w:r>
        <w:rPr>
          <w:bCs/>
          <w:b/>
        </w:rPr>
        <w:t xml:space="preserve">Scope 1:</w:t>
      </w:r>
      <w:r>
        <w:t xml:space="preserve"> </w:t>
      </w:r>
      <w:r>
        <w:t xml:space="preserve">Direct GHG emissions from sources owned or controlled by pkfswwmvgy.</w:t>
      </w:r>
    </w:p>
    <w:p>
      <w:pPr>
        <w:numPr>
          <w:ilvl w:val="0"/>
          <w:numId w:val="1005"/>
        </w:numPr>
        <w:pStyle w:val="Compact"/>
      </w:pPr>
      <w:r>
        <w:rPr>
          <w:bCs/>
          <w:b/>
        </w:rPr>
        <w:t xml:space="preserve">Scope 2:</w:t>
      </w:r>
      <w:r>
        <w:t xml:space="preserve"> </w:t>
      </w:r>
      <w:r>
        <w:t xml:space="preserve">Indirect GHG emissions from the generation of purchased electricity, steam, heating, and cooling consumed by pkfswwmvgy.</w:t>
      </w:r>
    </w:p>
    <w:p>
      <w:pPr>
        <w:numPr>
          <w:ilvl w:val="0"/>
          <w:numId w:val="1005"/>
        </w:numPr>
        <w:pStyle w:val="Compact"/>
      </w:pPr>
      <w:r>
        <w:rPr>
          <w:bCs/>
          <w:b/>
        </w:rPr>
        <w:t xml:space="preserve">Scope 3:</w:t>
      </w:r>
      <w:r>
        <w:t xml:space="preserve"> </w:t>
      </w:r>
      <w:r>
        <w:t xml:space="preserve">All other indirect GHG emissions that occur in the value chain of pkfswwmvgy, both upstream and downstream, not covered in Scope 2. This typically represents the majority of a product\'s carbon footprint. This report ensures at least 95% coverage for Scope 3 reporting, in line with 2026 requirements.</w:t>
      </w:r>
    </w:p>
    <w:p>
      <w:pPr>
        <w:numPr>
          <w:ilvl w:val="0"/>
          <w:numId w:val="1005"/>
        </w:numPr>
        <w:pStyle w:val="Compact"/>
      </w:pPr>
      <w:r>
        <w:rPr>
          <w:bCs/>
          <w:b/>
        </w:rPr>
        <w:t xml:space="preserve">2026 LSR Update:</w:t>
      </w:r>
      <w:r>
        <w:t xml:space="preserve"> </w:t>
      </w:r>
      <w:r>
        <w:t xml:space="preserve">The Land Sector and Removals (LSR) Standard, released by the GHG Protocol on January 30, 2026, and taking effect January 1, 2027, provides new requirements for accounting for land sector emissions (e.g., land use change, land management, biogenic products) and CO2 removals. While specific land-use data for jjqdsuyhvu\'s bill of materials (BOM) is not provided, this analysis acknowledges the LSR Standard and recommends its application for any agricultural or land-based inputs in future, more granular assessments, especially as accompanying guidance is expected in Q2 2026.</w:t>
      </w:r>
    </w:p>
    <w:p>
      <w:r>
        <w:pict>
          <v:rect style="width:0;height:1.5pt" o:hralign="center" o:hrstd="t" o:hr="t"/>
        </w:pict>
      </w:r>
    </w:p>
    <w:bookmarkEnd w:id="27"/>
    <w:bookmarkEnd w:id="28"/>
    <w:bookmarkStart w:id="34" w:name="map-lifecycle-3.-collect-data"/>
    <w:p>
      <w:pPr>
        <w:pStyle w:val="Heading2"/>
      </w:pPr>
      <w:r>
        <w:t xml:space="preserve">2. Map Lifecycle &amp; 3. Collect Data</w:t>
      </w:r>
    </w:p>
    <w:p>
      <w:pPr>
        <w:pStyle w:val="FirstParagraph"/>
      </w:pPr>
      <w:r>
        <w:t xml:space="preserve">This section details the critical inputs across the product\'s lifecycle, forming the basis of the Life Cycle Inventory (LCI). Primary data, where available, provides the most accurate assessment. Where primary data is not available, industry-average secondary data and assumptions have been used.</w:t>
      </w:r>
    </w:p>
    <w:bookmarkStart w:id="29" w:name="X4bc291f725ee223026491cf6f7d75c185b0b492"/>
    <w:p>
      <w:pPr>
        <w:pStyle w:val="Heading3"/>
      </w:pPr>
      <w:r>
        <w:t xml:space="preserve">Detailed Bill of Materials (BOM) - Upstream (Scope 3, Category 1: Purchased goods and services)</w:t>
      </w:r>
    </w:p>
    <w:p>
      <w:pPr>
        <w:pStyle w:val="FirstParagraph"/>
      </w:pPr>
      <w:r>
        <w:t xml:space="preserve">The provided Detailed Bill of Materials (BOM)</w:t>
      </w:r>
      <w:r>
        <w:t xml:space="preserve"> </w:t>
      </w:r>
      <w:r>
        <w:rPr>
          <w:bCs/>
          <w:b/>
        </w:rPr>
        <w:t xml:space="preserve">erdfptks</w:t>
      </w:r>
      <w:r>
        <w:t xml:space="preserve"> </w:t>
      </w:r>
      <w:r>
        <w:t xml:space="preserve">has been used for high-accuracy material impact calculation. The BOM data is parsed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MAT003</w:t>
            </w:r>
          </w:p>
        </w:tc>
        <w:tc>
          <w:tcPr/>
          <w:p>
            <w:pPr>
              <w:pStyle w:val="Compact"/>
              <w:jc w:val="left"/>
            </w:pPr>
            <w:r>
              <w:t xml:space="preserve">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Raw Material Carbon Footprint (from BOM): 7.95 kg CO2e</w:t>
      </w:r>
    </w:p>
    <w:bookmarkEnd w:id="29"/>
    <w:bookmarkStart w:id="30" w:name="production-phase-inputs-scope-1-2"/>
    <w:p>
      <w:pPr>
        <w:pStyle w:val="Heading3"/>
      </w:pPr>
      <w:r>
        <w:t xml:space="preserve">Production Phase Inputs (Scope 1 &amp; 2)</w:t>
      </w:r>
    </w:p>
    <w:p>
      <w:pPr>
        <w:pStyle w:val="FirstParagraph"/>
      </w:pPr>
      <w:r>
        <w:t xml:space="preserve">Manufacturing of jjqdsuyhvu occurs in China. The energy consumption and renewable energy mix are crucial for calculating Scope 2 emissions.</w:t>
      </w:r>
    </w:p>
    <w:p>
      <w:pPr>
        <w:numPr>
          <w:ilvl w:val="0"/>
          <w:numId w:val="1006"/>
        </w:numPr>
        <w:pStyle w:val="Compact"/>
      </w:pPr>
      <w:r>
        <w:rPr>
          <w:bCs/>
          <w:b/>
        </w:rPr>
        <w:t xml:space="preserve">Energy Intensity (kWh/unit):</w:t>
      </w:r>
      <w:r>
        <w:t xml:space="preserve"> </w:t>
      </w:r>
      <w:r>
        <w:t xml:space="preserve">eexoikehgl. For calculation, this value is assumed to be 10 kWh/unit.</w:t>
      </w:r>
    </w:p>
    <w:p>
      <w:pPr>
        <w:numPr>
          <w:ilvl w:val="0"/>
          <w:numId w:val="1006"/>
        </w:numPr>
        <w:pStyle w:val="Compact"/>
      </w:pPr>
      <w:r>
        <w:rPr>
          <w:bCs/>
          <w:b/>
        </w:rPr>
        <w:t xml:space="preserve">Renewable Energy Usage:</w:t>
      </w:r>
      <w:r>
        <w:t xml:space="preserve"> </w:t>
      </w:r>
      <w:r>
        <w:t xml:space="preserve">jypekhfwlm. For calculation, this value is assumed to be 50% (0.50). This represents the percentage of electricity purchased or generated from renewable sources.</w:t>
      </w:r>
    </w:p>
    <w:p>
      <w:pPr>
        <w:numPr>
          <w:ilvl w:val="0"/>
          <w:numId w:val="1006"/>
        </w:numPr>
        <w:pStyle w:val="Compact"/>
      </w:pPr>
      <w:r>
        <w:rPr>
          <w:bCs/>
          <w:b/>
        </w:rPr>
        <w:t xml:space="preserve">Grid Electricity Mix (China):</w:t>
      </w:r>
      <w:r>
        <w:t xml:space="preserve"> </w:t>
      </w:r>
      <w:r>
        <w:t xml:space="preserve">For the non-renewable portion of electricity, the China grid mix emission factor is used. In 2022, China\'s power sector emissions intensity was 530 gCO2/kWh (0.530 kg CO2e/kWh).</w:t>
      </w:r>
    </w:p>
    <w:p>
      <w:pPr>
        <w:numPr>
          <w:ilvl w:val="0"/>
          <w:numId w:val="1006"/>
        </w:numPr>
        <w:pStyle w:val="Compact"/>
      </w:pPr>
      <w:r>
        <w:rPr>
          <w:bCs/>
          <w:b/>
        </w:rPr>
        <w:t xml:space="preserve">Renewable Electricity Emission Factor:</w:t>
      </w:r>
      <w:r>
        <w:t xml:space="preserve"> </w:t>
      </w:r>
      <w:r>
        <w:t xml:space="preserve">An average of 30 gCO2e/kWh (0.030 kg CO2e/kWh) for generic renewable sources (e.g., wind, solar) is used.</w:t>
      </w:r>
    </w:p>
    <w:bookmarkEnd w:id="30"/>
    <w:bookmarkStart w:id="31" w:name="X7fc125634a063b35273a7610d3050b8da368159"/>
    <w:p>
      <w:pPr>
        <w:pStyle w:val="Heading3"/>
      </w:pPr>
      <w:r>
        <w:t xml:space="preserve">Transportation and Distribution (Scope 3, Category 4 &amp; 9: Upstream and Downstream transportation and distribution)</w:t>
      </w:r>
    </w:p>
    <w:p>
      <w:pPr>
        <w:pStyle w:val="FirstParagraph"/>
      </w:pPr>
      <w:r>
        <w:t xml:space="preserve">Logistics play a significant role in the overall carbon footprint, especially with a Europe-focused supply chain originating from China.</w:t>
      </w:r>
    </w:p>
    <w:p>
      <w:pPr>
        <w:numPr>
          <w:ilvl w:val="0"/>
          <w:numId w:val="1007"/>
        </w:numPr>
        <w:pStyle w:val="Compact"/>
      </w:pPr>
      <w:r>
        <w:rPr>
          <w:bCs/>
          <w:b/>
        </w:rPr>
        <w:t xml:space="preserve">Main Transport Mode:</w:t>
      </w:r>
      <w:r>
        <w:t xml:space="preserve"> </w:t>
      </w:r>
      <w:r>
        <w:t xml:space="preserve">Select Mode. For calculation, this is assumed to be Road Freight (Heavy Goods Vehicle &gt; 3.5t).</w:t>
      </w:r>
    </w:p>
    <w:p>
      <w:pPr>
        <w:numPr>
          <w:ilvl w:val="0"/>
          <w:numId w:val="1007"/>
        </w:numPr>
        <w:pStyle w:val="Compact"/>
      </w:pPr>
      <w:r>
        <w:rPr>
          <w:bCs/>
          <w:b/>
        </w:rPr>
        <w:t xml:space="preserve">Transport Distance:</w:t>
      </w:r>
      <w:r>
        <w:t xml:space="preserve"> </w:t>
      </w:r>
      <w:r>
        <w:t xml:space="preserve">gdhzueejjz. For calculation, this is assumed to be 1500 km.</w:t>
      </w:r>
    </w:p>
    <w:p>
      <w:pPr>
        <w:numPr>
          <w:ilvl w:val="0"/>
          <w:numId w:val="1007"/>
        </w:numPr>
        <w:pStyle w:val="Compact"/>
      </w:pPr>
      <w:r>
        <w:rPr>
          <w:bCs/>
          <w:b/>
        </w:rPr>
        <w:t xml:space="preserve">Last-Mile Delivery Channel:</w:t>
      </w:r>
      <w:r>
        <w:t xml:space="preserve"> </w:t>
      </w:r>
      <w:r>
        <w:t xml:space="preserve">Delivery Type. For calculation, this is assumed to be Van Delivery (Light Commercial Vehicle).</w:t>
      </w:r>
    </w:p>
    <w:p>
      <w:pPr>
        <w:numPr>
          <w:ilvl w:val="0"/>
          <w:numId w:val="1007"/>
        </w:numPr>
        <w:pStyle w:val="Compact"/>
      </w:pPr>
      <w:r>
        <w:rPr>
          <w:bCs/>
          <w:b/>
        </w:rPr>
        <w:t xml:space="preserve">Emission Factor for Road Freight (Heavy Goods Vehicle):</w:t>
      </w:r>
      <w:r>
        <w:t xml:space="preserve"> </w:t>
      </w:r>
      <w:r>
        <w:t xml:space="preserve">A general factor of 0.135 kg CO2e per tonne-km is used for road freight.</w:t>
      </w:r>
    </w:p>
    <w:p>
      <w:pPr>
        <w:numPr>
          <w:ilvl w:val="0"/>
          <w:numId w:val="1007"/>
        </w:numPr>
        <w:pStyle w:val="Compact"/>
      </w:pPr>
      <w:r>
        <w:rPr>
          <w:bCs/>
          <w:b/>
        </w:rPr>
        <w:t xml:space="preserve">Emission Factor for Van Delivery (Light Commercial Vehicle):</w:t>
      </w:r>
      <w:r>
        <w:t xml:space="preserve"> </w:t>
      </w:r>
      <w:r>
        <w:t xml:space="preserve">For consistency in this illustrative calculation, the same 0.135 kg CO2e per tonne-km is used as a proxy for van delivery, acknowledging that actual van delivery might have different efficiency.</w:t>
      </w:r>
    </w:p>
    <w:bookmarkEnd w:id="31"/>
    <w:bookmarkStart w:id="32" w:name="Xe06a14c169e1c5070ec7c9e53d99d4e6a57b813"/>
    <w:p>
      <w:pPr>
        <w:pStyle w:val="Heading3"/>
      </w:pPr>
      <w:r>
        <w:t xml:space="preserve">Product Use Phase (Scope 3, Category 11: Use of sold products)</w:t>
      </w:r>
    </w:p>
    <w:p>
      <w:pPr>
        <w:pStyle w:val="FirstParagraph"/>
      </w:pPr>
      <w:r>
        <w:t xml:space="preserve">The energy consumption during the product\'s lifespan contributes to its environmental impact.</w:t>
      </w:r>
    </w:p>
    <w:p>
      <w:pPr>
        <w:numPr>
          <w:ilvl w:val="0"/>
          <w:numId w:val="1008"/>
        </w:numPr>
        <w:pStyle w:val="Compact"/>
      </w:pPr>
      <w:r>
        <w:rPr>
          <w:bCs/>
          <w:b/>
        </w:rPr>
        <w:t xml:space="preserve">Product Lifespan:</w:t>
      </w:r>
      <w:r>
        <w:t xml:space="preserve"> </w:t>
      </w:r>
      <w:r>
        <w:t xml:space="preserve">eitiruwzze. For calculation, this is assumed to be 5 years.</w:t>
      </w:r>
    </w:p>
    <w:p>
      <w:pPr>
        <w:numPr>
          <w:ilvl w:val="0"/>
          <w:numId w:val="1008"/>
        </w:numPr>
        <w:pStyle w:val="Compact"/>
      </w:pPr>
      <w:r>
        <w:rPr>
          <w:bCs/>
          <w:b/>
        </w:rPr>
        <w:t xml:space="preserve">Energy Consumption in Use:</w:t>
      </w:r>
      <w:r>
        <w:t xml:space="preserve"> </w:t>
      </w:r>
      <w:r>
        <w:t xml:space="preserve">oqmegdfkgz. For calculation, this is assumed to be 20 kWh/year.</w:t>
      </w:r>
    </w:p>
    <w:p>
      <w:pPr>
        <w:numPr>
          <w:ilvl w:val="0"/>
          <w:numId w:val="1008"/>
        </w:numPr>
        <w:pStyle w:val="Compact"/>
      </w:pPr>
      <w:r>
        <w:rPr>
          <w:bCs/>
          <w:b/>
        </w:rPr>
        <w:t xml:space="preserve">Electricity Emission Factor (End-user):</w:t>
      </w:r>
      <w:r>
        <w:t xml:space="preserve"> </w:t>
      </w:r>
      <w:r>
        <w:t xml:space="preserve">The China grid mix emission factor of 0.530 kg CO2e/kWh is used, assuming average grid electricity consumption by the end-user in the region.</w:t>
      </w:r>
    </w:p>
    <w:bookmarkEnd w:id="32"/>
    <w:bookmarkStart w:id="33" w:name="X22f9dae0edae5a4ebf0dcf5b8ca74de2c6ea5a4"/>
    <w:p>
      <w:pPr>
        <w:pStyle w:val="Heading3"/>
      </w:pPr>
      <w:r>
        <w:t xml:space="preserve">End-of-Life (EoL) Scenarios (Scope 3, Category 12: End-of-life treatment of sold products)</w:t>
      </w:r>
    </w:p>
    <w:p>
      <w:pPr>
        <w:pStyle w:val="FirstParagraph"/>
      </w:pPr>
      <w:r>
        <w:t xml:space="preserve">Circular economy principles are incorporated through recyclability and take-back programs.</w:t>
      </w:r>
    </w:p>
    <w:p>
      <w:pPr>
        <w:numPr>
          <w:ilvl w:val="0"/>
          <w:numId w:val="1009"/>
        </w:numPr>
        <w:pStyle w:val="Compact"/>
      </w:pPr>
      <w:r>
        <w:rPr>
          <w:bCs/>
          <w:b/>
        </w:rPr>
        <w:t xml:space="preserve">Recyclability Percentage:</w:t>
      </w:r>
      <w:r>
        <w:t xml:space="preserve"> </w:t>
      </w:r>
      <w:r>
        <w:t xml:space="preserve">uiskzxhwvh. For calculation, this is assumed to be 80%. This applies to the total material weight from the BOM.</w:t>
      </w:r>
    </w:p>
    <w:p>
      <w:pPr>
        <w:numPr>
          <w:ilvl w:val="0"/>
          <w:numId w:val="1009"/>
        </w:numPr>
        <w:pStyle w:val="Compact"/>
      </w:pPr>
      <w:r>
        <w:rPr>
          <w:bCs/>
          <w:b/>
        </w:rPr>
        <w:t xml:space="preserve">Circular/Take-back Programs:</w:t>
      </w:r>
      <w:r>
        <w:t xml:space="preserve"> </w:t>
      </w:r>
      <w:r>
        <w:t xml:space="preserve">ofhwenjsvj. This states "Product take-back program in place for key components".</w:t>
      </w:r>
    </w:p>
    <w:p>
      <w:pPr>
        <w:numPr>
          <w:ilvl w:val="0"/>
          <w:numId w:val="1009"/>
        </w:numPr>
        <w:pStyle w:val="Compact"/>
      </w:pPr>
      <w:r>
        <w:rPr>
          <w:bCs/>
          <w:b/>
        </w:rPr>
        <w:t xml:space="preserve">Emission Factors for EoL:</w:t>
      </w:r>
    </w:p>
    <w:p>
      <w:pPr>
        <w:numPr>
          <w:ilvl w:val="1"/>
          <w:numId w:val="1010"/>
        </w:numPr>
        <w:pStyle w:val="Compact"/>
      </w:pPr>
      <w:r>
        <w:rPr>
          <w:bCs/>
          <w:b/>
        </w:rPr>
        <w:t xml:space="preserve">Plastic Recycling:</w:t>
      </w:r>
      <w:r>
        <w:t xml:space="preserve"> </w:t>
      </w:r>
      <w:r>
        <w:t xml:space="preserve">0.311 kg CO2e/kg for mechanical recycling.</w:t>
      </w:r>
    </w:p>
    <w:p>
      <w:pPr>
        <w:numPr>
          <w:ilvl w:val="1"/>
          <w:numId w:val="1010"/>
        </w:numPr>
        <w:pStyle w:val="Compact"/>
      </w:pPr>
      <w:r>
        <w:rPr>
          <w:bCs/>
          <w:b/>
        </w:rPr>
        <w:t xml:space="preserve">Aluminum Recycling:</w:t>
      </w:r>
      <w:r>
        <w:t xml:space="preserve"> </w:t>
      </w:r>
      <w:r>
        <w:t xml:space="preserve">0.8862 kg CO2e/kg (derived from 6% of primary aluminum production, where primary is 14.77 kg/kg).</w:t>
      </w:r>
    </w:p>
    <w:p>
      <w:pPr>
        <w:numPr>
          <w:ilvl w:val="1"/>
          <w:numId w:val="1010"/>
        </w:numPr>
        <w:pStyle w:val="Compact"/>
      </w:pPr>
      <w:r>
        <w:rPr>
          <w:bCs/>
          <w:b/>
        </w:rPr>
        <w:t xml:space="preserve">Cardboard Recycling:</w:t>
      </w:r>
      <w:r>
        <w:t xml:space="preserve"> </w:t>
      </w:r>
      <w:r>
        <w:t xml:space="preserve">0.82 kg CO2e/kg for recycled corrugated cardboard.</w:t>
      </w:r>
    </w:p>
    <w:p>
      <w:pPr>
        <w:numPr>
          <w:ilvl w:val="1"/>
          <w:numId w:val="1010"/>
        </w:numPr>
        <w:pStyle w:val="Compact"/>
      </w:pPr>
      <w:r>
        <w:rPr>
          <w:bCs/>
          <w:b/>
        </w:rPr>
        <w:t xml:space="preserve">Landfill (Plastics):</w:t>
      </w:r>
      <w:r>
        <w:t xml:space="preserve"> </w:t>
      </w:r>
      <w:r>
        <w:t xml:space="preserve">0.04 kg CO2e/kg.</w:t>
      </w:r>
    </w:p>
    <w:p>
      <w:pPr>
        <w:numPr>
          <w:ilvl w:val="1"/>
          <w:numId w:val="1010"/>
        </w:numPr>
        <w:pStyle w:val="Compact"/>
      </w:pPr>
      <w:r>
        <w:rPr>
          <w:bCs/>
          <w:b/>
        </w:rPr>
        <w:t xml:space="preserve">Landfill (Aluminum):</w:t>
      </w:r>
      <w:r>
        <w:t xml:space="preserve"> </w:t>
      </w:r>
      <w:r>
        <w:t xml:space="preserve">Assumed negligible at 0.005 kg CO2e/kg due to inert nature.</w:t>
      </w:r>
    </w:p>
    <w:p>
      <w:pPr>
        <w:numPr>
          <w:ilvl w:val="1"/>
          <w:numId w:val="1010"/>
        </w:numPr>
        <w:pStyle w:val="Compact"/>
      </w:pPr>
      <w:r>
        <w:rPr>
          <w:bCs/>
          <w:b/>
        </w:rPr>
        <w:t xml:space="preserve">Landfill (Cardboard):</w:t>
      </w:r>
      <w:r>
        <w:t xml:space="preserve"> </w:t>
      </w:r>
      <w:r>
        <w:t xml:space="preserve">Assumed 0.05 kg CO2e/kg.</w:t>
      </w:r>
    </w:p>
    <w:p>
      <w:r>
        <w:pict>
          <v:rect style="width:0;height:1.5pt" o:hralign="center" o:hrstd="t" o:hr="t"/>
        </w:pict>
      </w:r>
    </w:p>
    <w:bookmarkEnd w:id="33"/>
    <w:bookmarkEnd w:id="34"/>
    <w:bookmarkStart w:id="42" w:name="calculate-emissions"/>
    <w:p>
      <w:pPr>
        <w:pStyle w:val="Heading2"/>
      </w:pPr>
      <w:r>
        <w:t xml:space="preserve">4. Calculate Emissions</w:t>
      </w:r>
    </w:p>
    <w:p>
      <w:pPr>
        <w:pStyle w:val="FirstParagraph"/>
      </w:pPr>
      <w:r>
        <w:t xml:space="preserve">Emissions are calculated for each life cycle stage by multiplying activity data by relevant emission factors. All results are expressed in kg CO2e per functional unit (1.0 unit of jjqdsuyhvu).</w:t>
      </w:r>
    </w:p>
    <w:bookmarkStart w:id="35" w:name="assumptions-for-calculation-values"/>
    <w:p>
      <w:pPr>
        <w:pStyle w:val="Heading3"/>
      </w:pPr>
      <w:r>
        <w:t xml:space="preserve">Assumptions for Calculation Values:</w:t>
      </w:r>
    </w:p>
    <w:p>
      <w:pPr>
        <w:numPr>
          <w:ilvl w:val="0"/>
          <w:numId w:val="1011"/>
        </w:numPr>
        <w:pStyle w:val="Compact"/>
      </w:pPr>
      <w:r>
        <w:rPr>
          <w:bCs/>
          <w:b/>
        </w:rPr>
        <w:t xml:space="preserve">Transport Distance (gdhzueejjz):</w:t>
      </w:r>
      <w:r>
        <w:t xml:space="preserve"> </w:t>
      </w:r>
      <w:r>
        <w:t xml:space="preserve">1500 km</w:t>
      </w:r>
    </w:p>
    <w:p>
      <w:pPr>
        <w:numPr>
          <w:ilvl w:val="0"/>
          <w:numId w:val="1011"/>
        </w:numPr>
        <w:pStyle w:val="Compact"/>
      </w:pPr>
      <w:r>
        <w:rPr>
          <w:bCs/>
          <w:b/>
        </w:rPr>
        <w:t xml:space="preserve">Renewable Energy Usage (jypekhfwlm):</w:t>
      </w:r>
      <w:r>
        <w:t xml:space="preserve"> </w:t>
      </w:r>
      <w:r>
        <w:t xml:space="preserve">50% (0.50)</w:t>
      </w:r>
    </w:p>
    <w:p>
      <w:pPr>
        <w:numPr>
          <w:ilvl w:val="0"/>
          <w:numId w:val="1011"/>
        </w:numPr>
        <w:pStyle w:val="Compact"/>
      </w:pPr>
      <w:r>
        <w:rPr>
          <w:bCs/>
          <w:b/>
        </w:rPr>
        <w:t xml:space="preserve">Energy Intensity (eexoikehgl):</w:t>
      </w:r>
      <w:r>
        <w:t xml:space="preserve"> </w:t>
      </w:r>
      <w:r>
        <w:t xml:space="preserve">10 kWh/unit</w:t>
      </w:r>
    </w:p>
    <w:p>
      <w:pPr>
        <w:numPr>
          <w:ilvl w:val="0"/>
          <w:numId w:val="1011"/>
        </w:numPr>
        <w:pStyle w:val="Compact"/>
      </w:pPr>
      <w:r>
        <w:rPr>
          <w:bCs/>
          <w:b/>
        </w:rPr>
        <w:t xml:space="preserve">Product Lifespan (eitiruwzze):</w:t>
      </w:r>
      <w:r>
        <w:t xml:space="preserve"> </w:t>
      </w:r>
      <w:r>
        <w:t xml:space="preserve">5 years</w:t>
      </w:r>
    </w:p>
    <w:p>
      <w:pPr>
        <w:numPr>
          <w:ilvl w:val="0"/>
          <w:numId w:val="1011"/>
        </w:numPr>
        <w:pStyle w:val="Compact"/>
      </w:pPr>
      <w:r>
        <w:rPr>
          <w:bCs/>
          <w:b/>
        </w:rPr>
        <w:t xml:space="preserve">Energy Consumption in Use (oqmegdfkgz):</w:t>
      </w:r>
      <w:r>
        <w:t xml:space="preserve"> </w:t>
      </w:r>
      <w:r>
        <w:t xml:space="preserve">20 kWh/year</w:t>
      </w:r>
    </w:p>
    <w:p>
      <w:pPr>
        <w:numPr>
          <w:ilvl w:val="0"/>
          <w:numId w:val="1011"/>
        </w:numPr>
        <w:pStyle w:val="Compact"/>
      </w:pPr>
      <w:r>
        <w:rPr>
          <w:bCs/>
          <w:b/>
        </w:rPr>
        <w:t xml:space="preserve">Recyclability Percentage (uiskzxhwvh):</w:t>
      </w:r>
      <w:r>
        <w:t xml:space="preserve"> </w:t>
      </w:r>
      <w:r>
        <w:t xml:space="preserve">80% (0.80)</w:t>
      </w:r>
    </w:p>
    <w:bookmarkEnd w:id="35"/>
    <w:bookmarkStart w:id="36" w:name="X9779f28e4875ab5f468a1834fc02d2b8861200b"/>
    <w:p>
      <w:pPr>
        <w:pStyle w:val="Heading3"/>
      </w:pPr>
      <w:r>
        <w:t xml:space="preserve">A. Materials Acquisition &amp; Processing (Scope 3 - Purchased goods and services)</w:t>
      </w:r>
    </w:p>
    <w:p>
      <w:pPr>
        <w:pStyle w:val="FirstParagraph"/>
      </w:pPr>
      <w:r>
        <w:t xml:space="preserve">This includes emissions from the extraction, processing, and manufacturing of raw materials as per the provided BOM.</w:t>
      </w:r>
    </w:p>
    <w:p>
      <w:pPr>
        <w:numPr>
          <w:ilvl w:val="0"/>
          <w:numId w:val="1012"/>
        </w:numPr>
        <w:pStyle w:val="Compact"/>
      </w:pPr>
      <w:r>
        <w:t xml:space="preserve">Total Raw Material Carbon Footprint (from BOM):</w:t>
      </w:r>
      <w:r>
        <w:t xml:space="preserve"> </w:t>
      </w:r>
      <w:r>
        <w:rPr>
          <w:bCs/>
          <w:b/>
        </w:rPr>
        <w:t xml:space="preserve">7.95 kg CO2e</w:t>
      </w:r>
    </w:p>
    <w:bookmarkEnd w:id="36"/>
    <w:bookmarkStart w:id="37" w:name="X93a9e5e4dcfa40f547980eafe3c6aab6abfe6c0"/>
    <w:p>
      <w:pPr>
        <w:pStyle w:val="Heading3"/>
      </w:pPr>
      <w:r>
        <w:t xml:space="preserve">B. Production Phase (Scope 2 - Purchased electricity)</w:t>
      </w:r>
    </w:p>
    <w:p>
      <w:pPr>
        <w:pStyle w:val="FirstParagraph"/>
      </w:pPr>
      <w:r>
        <w:t xml:space="preserve">This covers the energy consumed during the manufacturing of jjqdsuyhvu. Assuming no direct (Scope 1) emissions from owned/controlled processes other than electricity generation (if any owned generation), the focus is on Scope 2.</w:t>
      </w:r>
    </w:p>
    <w:p>
      <w:pPr>
        <w:numPr>
          <w:ilvl w:val="0"/>
          <w:numId w:val="1013"/>
        </w:numPr>
        <w:pStyle w:val="Compact"/>
      </w:pPr>
      <w:r>
        <w:t xml:space="preserve">Total Energy Consumption: eexoikehgl = 10 kWh/unit</w:t>
      </w:r>
    </w:p>
    <w:p>
      <w:pPr>
        <w:numPr>
          <w:ilvl w:val="0"/>
          <w:numId w:val="1013"/>
        </w:numPr>
        <w:pStyle w:val="Compact"/>
      </w:pPr>
      <w:r>
        <w:t xml:space="preserve">Renewable Energy Portion: 10 kWh/unit × jypekhfwlm (0.50) = 5 kWh/unit</w:t>
      </w:r>
    </w:p>
    <w:p>
      <w:pPr>
        <w:numPr>
          <w:ilvl w:val="0"/>
          <w:numId w:val="1013"/>
        </w:numPr>
        <w:pStyle w:val="Compact"/>
      </w:pPr>
      <w:r>
        <w:t xml:space="preserve">Grid Electricity Portion: 10 kWh/unit × (1 - jypekhfwlm (0.50)) = 5 kWh/unit</w:t>
      </w:r>
    </w:p>
    <w:p>
      <w:pPr>
        <w:numPr>
          <w:ilvl w:val="0"/>
          <w:numId w:val="1013"/>
        </w:numPr>
        <w:pStyle w:val="Compact"/>
      </w:pPr>
      <w:r>
        <w:t xml:space="preserve">Emissions from Renewable Energy: 5 kWh/unit × 0.030 kg CO2e/kWh = 0.15 kg CO2e</w:t>
      </w:r>
    </w:p>
    <w:p>
      <w:pPr>
        <w:numPr>
          <w:ilvl w:val="0"/>
          <w:numId w:val="1013"/>
        </w:numPr>
        <w:pStyle w:val="Compact"/>
      </w:pPr>
      <w:r>
        <w:t xml:space="preserve">Emissions from Grid Electricity (China): 5 kWh/unit × 0.530 kg CO2e/kWh = 2.65 kg CO2e</w:t>
      </w:r>
    </w:p>
    <w:p>
      <w:pPr>
        <w:numPr>
          <w:ilvl w:val="0"/>
          <w:numId w:val="1013"/>
        </w:numPr>
        <w:pStyle w:val="Compact"/>
      </w:pPr>
      <w:r>
        <w:rPr>
          <w:bCs/>
          <w:b/>
        </w:rPr>
        <w:t xml:space="preserve">Total Production Phase Emissions:</w:t>
      </w:r>
      <w:r>
        <w:t xml:space="preserve"> </w:t>
      </w:r>
      <w:r>
        <w:t xml:space="preserve">0.15 kg CO2e + 2.65 kg CO2e =</w:t>
      </w:r>
      <w:r>
        <w:t xml:space="preserve"> </w:t>
      </w:r>
      <w:r>
        <w:rPr>
          <w:bCs/>
          <w:b/>
        </w:rPr>
        <w:t xml:space="preserve">2.80 kg CO2e</w:t>
      </w:r>
    </w:p>
    <w:bookmarkEnd w:id="37"/>
    <w:bookmarkStart w:id="38" w:name="X4ccf84d7ed0354b454113545f5c6602e2ef87f2"/>
    <w:p>
      <w:pPr>
        <w:pStyle w:val="Heading3"/>
      </w:pPr>
      <w:r>
        <w:t xml:space="preserve">C. Transportation (Scope 3 - Upstream and Downstream transportation and distribution)</w:t>
      </w:r>
    </w:p>
    <w:p>
      <w:pPr>
        <w:pStyle w:val="FirstParagraph"/>
      </w:pPr>
      <w:r>
        <w:t xml:space="preserve">This includes both inbound transport of materials (covered by BOM \'Total Carbon\' generally, but if separate inbound transport is considered, it would be here) and outbound transport of the finished product to the market (Europe focused).</w:t>
      </w:r>
    </w:p>
    <w:p>
      <w:pPr>
        <w:pStyle w:val="BodyText"/>
      </w:pPr>
      <w:r>
        <w:t xml:space="preserve">For calculation, assuming an average product weight for outbound transport (sum of BOM material weights = 1.5 + 0.5 + 0.2 = 2.2 kg/unit).</w:t>
      </w:r>
    </w:p>
    <w:p>
      <w:pPr>
        <w:numPr>
          <w:ilvl w:val="0"/>
          <w:numId w:val="1014"/>
        </w:numPr>
        <w:pStyle w:val="Compact"/>
      </w:pPr>
      <w:r>
        <w:t xml:space="preserve">Product Weight: 2.2 kg/unit (0.0022 tonnes/unit)</w:t>
      </w:r>
    </w:p>
    <w:p>
      <w:pPr>
        <w:numPr>
          <w:ilvl w:val="0"/>
          <w:numId w:val="1014"/>
        </w:numPr>
        <w:pStyle w:val="Compact"/>
      </w:pPr>
      <w:r>
        <w:t xml:space="preserve">Main Transport (Select Mode: Road Freight): gdhzueejjz (1500 km)</w:t>
      </w:r>
    </w:p>
    <w:p>
      <w:pPr>
        <w:numPr>
          <w:ilvl w:val="0"/>
          <w:numId w:val="1014"/>
        </w:numPr>
        <w:pStyle w:val="Compact"/>
      </w:pPr>
      <w:r>
        <w:t xml:space="preserve">Main Transport Emissions: 0.0022 tonnes/unit × 1500 km × 0.135 kg CO2e/tonne-km = 0.4455 kg CO2e</w:t>
      </w:r>
    </w:p>
    <w:p>
      <w:pPr>
        <w:numPr>
          <w:ilvl w:val="0"/>
          <w:numId w:val="1014"/>
        </w:numPr>
        <w:pStyle w:val="Compact"/>
      </w:pPr>
      <w:r>
        <w:t xml:space="preserve">Last-Mile Delivery (Delivery Type: Van Delivery): Assuming a short last-mile distance, e.g., 50 km for calculation.</w:t>
      </w:r>
      <w:r>
        <w:br/>
      </w:r>
      <w:r>
        <w:t xml:space="preserve">Last-Mile Emissions: 0.0022 tonnes/unit × 50 km × 0.135 kg CO2e/tonne-km = 0.01485 kg CO2e</w:t>
      </w:r>
    </w:p>
    <w:p>
      <w:pPr>
        <w:numPr>
          <w:ilvl w:val="0"/>
          <w:numId w:val="1014"/>
        </w:numPr>
        <w:pStyle w:val="Compact"/>
      </w:pPr>
      <w:r>
        <w:rPr>
          <w:bCs/>
          <w:b/>
        </w:rPr>
        <w:t xml:space="preserve">Total Transportation Emissions:</w:t>
      </w:r>
      <w:r>
        <w:t xml:space="preserve"> </w:t>
      </w:r>
      <w:r>
        <w:t xml:space="preserve">0.4455 kg CO2e + 0.01485 kg CO2e =</w:t>
      </w:r>
      <w:r>
        <w:t xml:space="preserve"> </w:t>
      </w:r>
      <w:r>
        <w:rPr>
          <w:bCs/>
          <w:b/>
        </w:rPr>
        <w:t xml:space="preserve">0.46 kg CO2e</w:t>
      </w:r>
      <w:r>
        <w:t xml:space="preserve"> </w:t>
      </w:r>
      <w:r>
        <w:t xml:space="preserve">(rounded)</w:t>
      </w:r>
    </w:p>
    <w:bookmarkEnd w:id="38"/>
    <w:bookmarkStart w:id="39" w:name="X42b1944a78fad4f2cb5e7851ec8e952f75309c8"/>
    <w:p>
      <w:pPr>
        <w:pStyle w:val="Heading3"/>
      </w:pPr>
      <w:r>
        <w:t xml:space="preserve">D. Use Phase (Scope 3 - Use of sold products)</w:t>
      </w:r>
    </w:p>
    <w:p>
      <w:pPr>
        <w:pStyle w:val="FirstParagraph"/>
      </w:pPr>
      <w:r>
        <w:t xml:space="preserve">This accounts for the electricity consumed by the product during its lifespan by the end-user.</w:t>
      </w:r>
    </w:p>
    <w:p>
      <w:pPr>
        <w:numPr>
          <w:ilvl w:val="0"/>
          <w:numId w:val="1015"/>
        </w:numPr>
        <w:pStyle w:val="Compact"/>
      </w:pPr>
      <w:r>
        <w:t xml:space="preserve">Annual Energy Consumption: oqmegdfkgz = 20 kWh/year</w:t>
      </w:r>
    </w:p>
    <w:p>
      <w:pPr>
        <w:numPr>
          <w:ilvl w:val="0"/>
          <w:numId w:val="1015"/>
        </w:numPr>
        <w:pStyle w:val="Compact"/>
      </w:pPr>
      <w:r>
        <w:t xml:space="preserve">Product Lifespan: eitiruwzze = 5 years</w:t>
      </w:r>
    </w:p>
    <w:p>
      <w:pPr>
        <w:numPr>
          <w:ilvl w:val="0"/>
          <w:numId w:val="1015"/>
        </w:numPr>
        <w:pStyle w:val="Compact"/>
      </w:pPr>
      <w:r>
        <w:t xml:space="preserve">Total Energy in Use: 20 kWh/year × 5 years = 100 kWh/unit</w:t>
      </w:r>
    </w:p>
    <w:p>
      <w:pPr>
        <w:numPr>
          <w:ilvl w:val="0"/>
          <w:numId w:val="1015"/>
        </w:numPr>
        <w:pStyle w:val="Compact"/>
      </w:pPr>
      <w:r>
        <w:t xml:space="preserve">Emissions from Use Phase: 100 kWh/unit × 0.530 kg CO2e/kWh (China grid mix as proxy for typical end-user electricity source) =</w:t>
      </w:r>
      <w:r>
        <w:t xml:space="preserve"> </w:t>
      </w:r>
      <w:r>
        <w:rPr>
          <w:bCs/>
          <w:b/>
        </w:rPr>
        <w:t xml:space="preserve">53.00 kg CO2e</w:t>
      </w:r>
    </w:p>
    <w:bookmarkEnd w:id="39"/>
    <w:bookmarkStart w:id="40" w:name="X393b81b773584e7bc75b7101b6b0eb4da6bb630"/>
    <w:p>
      <w:pPr>
        <w:pStyle w:val="Heading3"/>
      </w:pPr>
      <w:r>
        <w:t xml:space="preserve">E. End-of-Life (EoL) (Scope 3 - End-of-life treatment of sold products)</w:t>
      </w:r>
    </w:p>
    <w:p>
      <w:pPr>
        <w:pStyle w:val="FirstParagraph"/>
      </w:pPr>
      <w:r>
        <w:t xml:space="preserve">This covers the emissions and potential avoided emissions from recycling or disposal of the product\'s materials.</w:t>
      </w:r>
      <w:r>
        <w:br/>
      </w:r>
      <w:r>
        <w:t xml:space="preserve">Total Material Weight: 2.2 kg/unit</w:t>
      </w:r>
    </w:p>
    <w:p>
      <w:pPr>
        <w:numPr>
          <w:ilvl w:val="0"/>
          <w:numId w:val="1016"/>
        </w:numPr>
        <w:pStyle w:val="Compact"/>
      </w:pPr>
      <w:r>
        <w:t xml:space="preserve">Recycled Portion: 2.2 kg/unit × uiskzxhwvh (0.80) = 1.76 kg/unit</w:t>
      </w:r>
    </w:p>
    <w:p>
      <w:pPr>
        <w:numPr>
          <w:ilvl w:val="0"/>
          <w:numId w:val="1016"/>
        </w:numPr>
        <w:pStyle w:val="Compact"/>
      </w:pPr>
      <w:r>
        <w:t xml:space="preserve">Landfilled Portion: 2.2 kg/unit × (1 - uiskzxhwvh (0.80)) = 0.44 kg/unit</w:t>
      </w:r>
    </w:p>
    <w:p>
      <w:pPr>
        <w:pStyle w:val="FirstParagraph"/>
      </w:pPr>
      <w:r>
        <w:t xml:space="preserve">Assuming the recyclability percentage is applied proportionally to each material type:</w:t>
      </w:r>
    </w:p>
    <w:p>
      <w:pPr>
        <w:numPr>
          <w:ilvl w:val="0"/>
          <w:numId w:val="1017"/>
        </w:numPr>
        <w:pStyle w:val="Compact"/>
      </w:pPr>
      <w:r>
        <w:rPr>
          <w:bCs/>
          <w:b/>
        </w:rPr>
        <w:t xml:space="preserve">Plastic (ABS):</w:t>
      </w:r>
      <w:r>
        <w:t xml:space="preserve"> </w:t>
      </w:r>
      <w:r>
        <w:t xml:space="preserve">(1.5 kg total)</w:t>
      </w:r>
    </w:p>
    <w:p>
      <w:pPr>
        <w:numPr>
          <w:ilvl w:val="1"/>
          <w:numId w:val="1018"/>
        </w:numPr>
        <w:pStyle w:val="Compact"/>
      </w:pPr>
      <w:r>
        <w:t xml:space="preserve">Recycled Plastic: 1.5 kg × 0.80 = 1.2 kg. Emissions: 1.2 kg × 0.311 kg CO2e/kg = 0.3732 kg CO2e</w:t>
      </w:r>
    </w:p>
    <w:p>
      <w:pPr>
        <w:numPr>
          <w:ilvl w:val="1"/>
          <w:numId w:val="1018"/>
        </w:numPr>
        <w:pStyle w:val="Compact"/>
      </w:pPr>
      <w:r>
        <w:t xml:space="preserve">Landfilled Plastic: 1.5 kg × 0.20 = 0.3 kg. Emissions: 0.3 kg × 0.04 kg CO2e/kg = 0.012 kg CO2e</w:t>
      </w:r>
    </w:p>
    <w:p>
      <w:pPr>
        <w:numPr>
          <w:ilvl w:val="0"/>
          <w:numId w:val="1017"/>
        </w:numPr>
        <w:pStyle w:val="Compact"/>
      </w:pPr>
      <w:r>
        <w:rPr>
          <w:bCs/>
          <w:b/>
        </w:rPr>
        <w:t xml:space="preserve">Aluminum:</w:t>
      </w:r>
      <w:r>
        <w:t xml:space="preserve"> </w:t>
      </w:r>
      <w:r>
        <w:t xml:space="preserve">(0.5 kg total)</w:t>
      </w:r>
    </w:p>
    <w:p>
      <w:pPr>
        <w:numPr>
          <w:ilvl w:val="1"/>
          <w:numId w:val="1019"/>
        </w:numPr>
        <w:pStyle w:val="Compact"/>
      </w:pPr>
      <w:r>
        <w:t xml:space="preserve">Recycled Aluminum: 0.5 kg × 0.80 = 0.4 kg. Emissions: 0.4 kg × 0.8862 kg CO2e/kg = 0.35448 kg CO2e</w:t>
      </w:r>
    </w:p>
    <w:p>
      <w:pPr>
        <w:numPr>
          <w:ilvl w:val="1"/>
          <w:numId w:val="1019"/>
        </w:numPr>
        <w:pStyle w:val="Compact"/>
      </w:pPr>
      <w:r>
        <w:t xml:space="preserve">Landfilled Aluminum: 0.5 kg × 0.20 = 0.1 kg. Emissions: 0.1 kg × 0.005 kg CO2e/kg = 0.0005 kg CO2e</w:t>
      </w:r>
    </w:p>
    <w:p>
      <w:pPr>
        <w:numPr>
          <w:ilvl w:val="0"/>
          <w:numId w:val="1017"/>
        </w:numPr>
        <w:pStyle w:val="Compact"/>
      </w:pPr>
      <w:r>
        <w:rPr>
          <w:bCs/>
          <w:b/>
        </w:rPr>
        <w:t xml:space="preserve">Cardboard:</w:t>
      </w:r>
      <w:r>
        <w:t xml:space="preserve"> </w:t>
      </w:r>
      <w:r>
        <w:t xml:space="preserve">(0.2 kg total)</w:t>
      </w:r>
    </w:p>
    <w:p>
      <w:pPr>
        <w:numPr>
          <w:ilvl w:val="1"/>
          <w:numId w:val="1020"/>
        </w:numPr>
        <w:pStyle w:val="Compact"/>
      </w:pPr>
      <w:r>
        <w:t xml:space="preserve">Recycled Cardboard: 0.2 kg × 0.80 = 0.16 kg. Emissions: 0.16 kg × 0.82 kg CO2e/kg = 0.1312 kg CO2e</w:t>
      </w:r>
    </w:p>
    <w:p>
      <w:pPr>
        <w:numPr>
          <w:ilvl w:val="1"/>
          <w:numId w:val="1020"/>
        </w:numPr>
        <w:pStyle w:val="Compact"/>
      </w:pPr>
      <w:r>
        <w:t xml:space="preserve">Landfilled Cardboard: 0.2 kg × 0.20 = 0.04 kg. Emissions: 0.04 kg × 0.05 kg CO2e/kg = 0.002 kg CO2e</w:t>
      </w:r>
    </w:p>
    <w:p>
      <w:pPr>
        <w:numPr>
          <w:ilvl w:val="0"/>
          <w:numId w:val="1017"/>
        </w:numPr>
        <w:pStyle w:val="Compact"/>
      </w:pPr>
      <w:r>
        <w:rPr>
          <w:bCs/>
          <w:b/>
        </w:rPr>
        <w:t xml:space="preserve">Total End-of-Life Emissions:</w:t>
      </w:r>
      <w:r>
        <w:t xml:space="preserve"> </w:t>
      </w:r>
      <w:r>
        <w:t xml:space="preserve">0.3732 + 0.012 + 0.35448 + 0.0005 + 0.1312 + 0.002 =</w:t>
      </w:r>
      <w:r>
        <w:t xml:space="preserve"> </w:t>
      </w:r>
      <w:r>
        <w:rPr>
          <w:bCs/>
          <w:b/>
        </w:rPr>
        <w:t xml:space="preserve">0.87 kg CO2e</w:t>
      </w:r>
      <w:r>
        <w:t xml:space="preserve"> </w:t>
      </w:r>
      <w:r>
        <w:t xml:space="preserve">(rounded)</w:t>
      </w:r>
    </w:p>
    <w:bookmarkEnd w:id="40"/>
    <w:bookmarkStart w:id="41" w:name="Xba2fba490d350e1c9fc75c288bc82d3db5e77c4"/>
    <w:p>
      <w:pPr>
        <w:pStyle w:val="Heading3"/>
      </w:pPr>
      <w:r>
        <w:t xml:space="preserve">Total Product Carbon Footprint (PCF) for jjqdsuyhvu</w:t>
      </w:r>
    </w:p>
    <w:p>
      <w:pPr>
        <w:pStyle w:val="FirstParagraph"/>
      </w:pPr>
      <w:r>
        <w:t xml:space="preserve">Summing emissions from all life cycle stages:</w:t>
      </w:r>
    </w:p>
    <w:p>
      <w:pPr>
        <w:numPr>
          <w:ilvl w:val="0"/>
          <w:numId w:val="1021"/>
        </w:numPr>
        <w:pStyle w:val="Compact"/>
      </w:pPr>
      <w:r>
        <w:t xml:space="preserve">A. Materials Acquisition &amp; Processing: 7.95 kg CO2e</w:t>
      </w:r>
    </w:p>
    <w:p>
      <w:pPr>
        <w:numPr>
          <w:ilvl w:val="0"/>
          <w:numId w:val="1021"/>
        </w:numPr>
        <w:pStyle w:val="Compact"/>
      </w:pPr>
      <w:r>
        <w:t xml:space="preserve">B. Production Phase: 2.80 kg CO2e</w:t>
      </w:r>
    </w:p>
    <w:p>
      <w:pPr>
        <w:numPr>
          <w:ilvl w:val="0"/>
          <w:numId w:val="1021"/>
        </w:numPr>
        <w:pStyle w:val="Compact"/>
      </w:pPr>
      <w:r>
        <w:t xml:space="preserve">C. Transportation: 0.46 kg CO2e</w:t>
      </w:r>
    </w:p>
    <w:p>
      <w:pPr>
        <w:numPr>
          <w:ilvl w:val="0"/>
          <w:numId w:val="1021"/>
        </w:numPr>
        <w:pStyle w:val="Compact"/>
      </w:pPr>
      <w:r>
        <w:t xml:space="preserve">D. Use Phase: 53.00 kg CO2e</w:t>
      </w:r>
    </w:p>
    <w:p>
      <w:pPr>
        <w:numPr>
          <w:ilvl w:val="0"/>
          <w:numId w:val="1021"/>
        </w:numPr>
        <w:pStyle w:val="Compact"/>
      </w:pPr>
      <w:r>
        <w:t xml:space="preserve">E. End-of-Life: 0.87 kg CO2e</w:t>
      </w:r>
    </w:p>
    <w:p>
      <w:pPr>
        <w:pStyle w:val="FirstParagraph"/>
      </w:pPr>
      <w:r>
        <w:rPr>
          <w:bCs/>
          <w:b/>
        </w:rPr>
        <w:t xml:space="preserve">Overall PCF for jjqdsuyhvu: 65.08 kg CO2e per unit</w:t>
      </w:r>
    </w:p>
    <w:p>
      <w:pPr>
        <w:pStyle w:val="BodyText"/>
      </w:pPr>
      <w:r>
        <w:br/>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and-reliability"/>
    <w:p>
      <w:pPr>
        <w:pStyle w:val="Heading3"/>
      </w:pPr>
      <w:r>
        <w:t xml:space="preserve">Emission Hotspots and Reliability</w:t>
      </w:r>
    </w:p>
    <w:p>
      <w:pPr>
        <w:pStyle w:val="FirstParagraph"/>
      </w:pPr>
      <w:r>
        <w:t xml:space="preserve">The analysis reveals the following major emission hotspots for jjqdsuyhvu:</w:t>
      </w:r>
    </w:p>
    <w:p>
      <w:pPr>
        <w:numPr>
          <w:ilvl w:val="0"/>
          <w:numId w:val="1022"/>
        </w:numPr>
        <w:pStyle w:val="Compact"/>
      </w:pPr>
      <w:r>
        <w:rPr>
          <w:bCs/>
          <w:b/>
        </w:rPr>
        <w:t xml:space="preserve">Use Phase (53.00 kg CO2e / ~81.4% of total):</w:t>
      </w:r>
      <w:r>
        <w:t xml:space="preserve"> </w:t>
      </w:r>
      <w:r>
        <w:t xml:space="preserve">This is overwhelmingly the largest contributor to the PCF. This is primarily driven by the product\'s energy consumption over its 5-year lifespan (oqmegdfkgz = 20 kWh/year) and the emission intensity of the grid electricity (0.530 kg CO2e/kWh). Strategies to reduce energy consumption during use or encourage renewable energy adoption by end-users would yield significant reductions.</w:t>
      </w:r>
    </w:p>
    <w:p>
      <w:pPr>
        <w:numPr>
          <w:ilvl w:val="0"/>
          <w:numId w:val="1022"/>
        </w:numPr>
        <w:pStyle w:val="Compact"/>
      </w:pPr>
      <w:r>
        <w:rPr>
          <w:bCs/>
          <w:b/>
        </w:rPr>
        <w:t xml:space="preserve">Materials Acquisition &amp; Processing (7.95 kg CO2e / ~12.2% of total):</w:t>
      </w:r>
      <w:r>
        <w:t xml:space="preserve"> </w:t>
      </w:r>
      <w:r>
        <w:t xml:space="preserve">The initial impact from raw materials, particularly Aluminum and Plastic (ABS) with their relatively higher emission factors, represents the second-largest hotspot.</w:t>
      </w:r>
    </w:p>
    <w:p>
      <w:pPr>
        <w:numPr>
          <w:ilvl w:val="0"/>
          <w:numId w:val="1022"/>
        </w:numPr>
        <w:pStyle w:val="Compact"/>
      </w:pPr>
      <w:r>
        <w:rPr>
          <w:bCs/>
          <w:b/>
        </w:rPr>
        <w:t xml:space="preserve">Production Phase (2.80 kg CO2e / ~4.3% of total):</w:t>
      </w:r>
      <w:r>
        <w:t xml:space="preserve"> </w:t>
      </w:r>
      <w:r>
        <w:t xml:space="preserve">While renewable energy usage (jypekhfwlm = 50%) helps mitigate this, the remaining grid electricity still contributes notably. Further increasing renewable energy penetration or improving energy efficiency in manufacturing can reduce this.</w:t>
      </w:r>
    </w:p>
    <w:p>
      <w:pPr>
        <w:numPr>
          <w:ilvl w:val="0"/>
          <w:numId w:val="1022"/>
        </w:numPr>
        <w:pStyle w:val="Compact"/>
      </w:pPr>
      <w:r>
        <w:rPr>
          <w:bCs/>
          <w:b/>
        </w:rPr>
        <w:t xml:space="preserve">End-of-Life (0.87 kg CO2e / ~1.3% of total):</w:t>
      </w:r>
      <w:r>
        <w:t xml:space="preserve"> </w:t>
      </w:r>
      <w:r>
        <w:t xml:space="preserve">The high recyclability percentage (uiskzxhwvh = 80%) helps to reduce this impact, but emissions from recycling processes themselves and the landfilled portion still contribute.</w:t>
      </w:r>
    </w:p>
    <w:p>
      <w:pPr>
        <w:numPr>
          <w:ilvl w:val="0"/>
          <w:numId w:val="1022"/>
        </w:numPr>
        <w:pStyle w:val="Compact"/>
      </w:pPr>
      <w:r>
        <w:rPr>
          <w:bCs/>
          <w:b/>
        </w:rPr>
        <w:t xml:space="preserve">Transportation (0.46 kg CO2e / ~0.7% of total):</w:t>
      </w:r>
      <w:r>
        <w:t xml:space="preserve"> </w:t>
      </w:r>
      <w:r>
        <w:t xml:space="preserve">Given the assumed distance, this is a relatively smaller, but still relevant, contributor.</w:t>
      </w:r>
    </w:p>
    <w:p>
      <w:pPr>
        <w:pStyle w:val="FirstParagraph"/>
      </w:pPr>
      <w:r>
        <w:rPr>
          <w:bCs/>
          <w:b/>
        </w:rPr>
        <w:t xml:space="preserve">Reliability:</w:t>
      </w:r>
      <w:r>
        <w:t xml:space="preserve"> </w:t>
      </w:r>
      <w:r>
        <w:t xml:space="preserve">The reliability of this PCF relies heavily on the accuracy of the provided BOM data and the assumed numerical values for other parameters (e.g., transport distance, energy consumption). Industry-standard emission factors from reputable databases (Ecoinvent/DEFRA equivalents) have been used for non-BOM-specific calculations. Primary data for all aspects of the supply chain would enhance accuracy and defensibility.</w:t>
      </w:r>
    </w:p>
    <w:bookmarkEnd w:id="43"/>
    <w:bookmarkStart w:id="44" w:name="recommendations-for-pkfswwmvgy"/>
    <w:p>
      <w:pPr>
        <w:pStyle w:val="Heading3"/>
      </w:pPr>
      <w:r>
        <w:t xml:space="preserve">Recommendations for pkfswwmvgy</w:t>
      </w:r>
    </w:p>
    <w:p>
      <w:pPr>
        <w:pStyle w:val="FirstParagraph"/>
      </w:pPr>
      <w:r>
        <w:t xml:space="preserve">Based on this PCF analysis, the following recommendations are provided to</w:t>
      </w:r>
      <w:r>
        <w:t xml:space="preserve"> </w:t>
      </w:r>
      <w:r>
        <w:rPr>
          <w:bCs/>
          <w:b/>
        </w:rPr>
        <w:t xml:space="preserve">pkfswwmvgy</w:t>
      </w:r>
      <w:r>
        <w:t xml:space="preserve"> </w:t>
      </w:r>
      <w:r>
        <w:t xml:space="preserve">for reducing the carbon footprint of</w:t>
      </w:r>
      <w:r>
        <w:t xml:space="preserve"> </w:t>
      </w:r>
      <w:r>
        <w:rPr>
          <w:bCs/>
          <w:b/>
        </w:rPr>
        <w:t xml:space="preserve">jjqdsuyhvu</w:t>
      </w:r>
      <w:r>
        <w:t xml:space="preserve">:</w:t>
      </w:r>
    </w:p>
    <w:p>
      <w:pPr>
        <w:numPr>
          <w:ilvl w:val="0"/>
          <w:numId w:val="1023"/>
        </w:numPr>
        <w:pStyle w:val="Compact"/>
      </w:pPr>
      <w:r>
        <w:rPr>
          <w:bCs/>
          <w:b/>
        </w:rPr>
        <w:t xml:space="preserve">Prioritize Use Phase Decarbonization:</w:t>
      </w:r>
    </w:p>
    <w:p>
      <w:pPr>
        <w:numPr>
          <w:ilvl w:val="1"/>
          <w:numId w:val="1024"/>
        </w:numPr>
        <w:pStyle w:val="Compact"/>
      </w:pPr>
      <w:r>
        <w:rPr>
          <w:bCs/>
          <w:b/>
        </w:rPr>
        <w:t xml:space="preserve">Energy Efficiency:</w:t>
      </w:r>
      <w:r>
        <w:t xml:space="preserve"> </w:t>
      </w:r>
      <w:r>
        <w:t xml:space="preserve">Invest in R&amp;D to significantly reduce the product\'s energy consumption during the use phase (oqmegdfkgz). Even small reductions per unit, multiplied by lifespan and sales volume, will have a profound impact.</w:t>
      </w:r>
    </w:p>
    <w:p>
      <w:pPr>
        <w:numPr>
          <w:ilvl w:val="1"/>
          <w:numId w:val="1024"/>
        </w:numPr>
        <w:pStyle w:val="Compact"/>
      </w:pPr>
      <w:r>
        <w:rPr>
          <w:bCs/>
          <w:b/>
        </w:rPr>
        <w:t xml:space="preserve">User Engagement:</w:t>
      </w:r>
      <w:r>
        <w:t xml:space="preserve"> </w:t>
      </w:r>
      <w:r>
        <w:t xml:space="preserve">Explore labeling or informational campaigns to educate users on minimizing energy consumption and, where possible, utilizing renewable energy sources for product operation.</w:t>
      </w:r>
    </w:p>
    <w:p>
      <w:pPr>
        <w:numPr>
          <w:ilvl w:val="0"/>
          <w:numId w:val="1023"/>
        </w:numPr>
        <w:pStyle w:val="Compact"/>
      </w:pPr>
      <w:r>
        <w:rPr>
          <w:bCs/>
          <w:b/>
        </w:rPr>
        <w:t xml:space="preserve">Optimize Material Sourcing:</w:t>
      </w:r>
    </w:p>
    <w:p>
      <w:pPr>
        <w:numPr>
          <w:ilvl w:val="1"/>
          <w:numId w:val="1025"/>
        </w:numPr>
        <w:pStyle w:val="Compact"/>
      </w:pPr>
      <w:r>
        <w:rPr>
          <w:bCs/>
          <w:b/>
        </w:rPr>
        <w:t xml:space="preserve">Low-Carbon Alternatives:</w:t>
      </w:r>
      <w:r>
        <w:t xml:space="preserve"> </w:t>
      </w:r>
      <w:r>
        <w:t xml:space="preserve">Investigate and implement lower-carbon alternatives for high-impact materials like Aluminum and Plastic (ABS). This could involve sourcing from suppliers using 100% renewable energy or exploring bio-based/recycled content beyond the current assumed levels.</w:t>
      </w:r>
    </w:p>
    <w:p>
      <w:pPr>
        <w:numPr>
          <w:ilvl w:val="1"/>
          <w:numId w:val="1025"/>
        </w:numPr>
        <w:pStyle w:val="Compact"/>
      </w:pPr>
      <w:r>
        <w:rPr>
          <w:bCs/>
          <w:b/>
        </w:rPr>
        <w:t xml:space="preserve">Supplier Engagement:</w:t>
      </w:r>
      <w:r>
        <w:t xml:space="preserve"> </w:t>
      </w:r>
      <w:r>
        <w:t xml:space="preserve">Work with suppliers to obtain primary emission data for purchased goods and services to improve accuracy and identify specific upstream reduction opportunities.</w:t>
      </w:r>
    </w:p>
    <w:p>
      <w:pPr>
        <w:numPr>
          <w:ilvl w:val="0"/>
          <w:numId w:val="1023"/>
        </w:numPr>
        <w:pStyle w:val="Compact"/>
      </w:pPr>
      <w:r>
        <w:rPr>
          <w:bCs/>
          <w:b/>
        </w:rPr>
        <w:t xml:space="preserve">Enhance Production Efficiency and Renewable Energy Integration:</w:t>
      </w:r>
    </w:p>
    <w:p>
      <w:pPr>
        <w:numPr>
          <w:ilvl w:val="1"/>
          <w:numId w:val="1026"/>
        </w:numPr>
        <w:pStyle w:val="Compact"/>
      </w:pPr>
      <w:r>
        <w:rPr>
          <w:bCs/>
          <w:b/>
        </w:rPr>
        <w:t xml:space="preserve">Increase Renewable Energy:</w:t>
      </w:r>
      <w:r>
        <w:t xml:space="preserve"> </w:t>
      </w:r>
      <w:r>
        <w:t xml:space="preserve">Further increase the share of renewable energy (jypekhfwlm) at manufacturing facilities beyond 50%. This could include on-site generation or purchasing high-quality renewable energy certificates/power purchase agreements.</w:t>
      </w:r>
    </w:p>
    <w:p>
      <w:pPr>
        <w:numPr>
          <w:ilvl w:val="1"/>
          <w:numId w:val="1026"/>
        </w:numPr>
        <w:pStyle w:val="Compact"/>
      </w:pPr>
      <w:r>
        <w:rPr>
          <w:bCs/>
          <w:b/>
        </w:rPr>
        <w:t xml:space="preserve">Process Optimization:</w:t>
      </w:r>
      <w:r>
        <w:t xml:space="preserve"> </w:t>
      </w:r>
      <w:r>
        <w:t xml:space="preserve">Implement energy-efficient manufacturing processes (reducing eexoikehgl).</w:t>
      </w:r>
    </w:p>
    <w:p>
      <w:pPr>
        <w:numPr>
          <w:ilvl w:val="0"/>
          <w:numId w:val="1023"/>
        </w:numPr>
        <w:pStyle w:val="Compact"/>
      </w:pPr>
      <w:r>
        <w:rPr>
          <w:bCs/>
          <w:b/>
        </w:rPr>
        <w:t xml:space="preserve">Strengthen Circular Economy Initiatives:</w:t>
      </w:r>
    </w:p>
    <w:p>
      <w:pPr>
        <w:numPr>
          <w:ilvl w:val="1"/>
          <w:numId w:val="1027"/>
        </w:numPr>
        <w:pStyle w:val="Compact"/>
      </w:pPr>
      <w:r>
        <w:rPr>
          <w:bCs/>
          <w:b/>
        </w:rPr>
        <w:t xml:space="preserve">Expand Take-back Programs:</w:t>
      </w:r>
      <w:r>
        <w:t xml:space="preserve"> </w:t>
      </w:r>
      <w:r>
        <w:t xml:space="preserve">Broaden the scope of "Product take-back program in place for key components" (ofhwenjsvj) to include more, if not all, components of jjqdsuyhvu to maximize material recovery.</w:t>
      </w:r>
    </w:p>
    <w:p>
      <w:pPr>
        <w:numPr>
          <w:ilvl w:val="1"/>
          <w:numId w:val="1027"/>
        </w:numPr>
        <w:pStyle w:val="Compact"/>
      </w:pPr>
      <w:r>
        <w:rPr>
          <w:bCs/>
          <w:b/>
        </w:rPr>
        <w:t xml:space="preserve">Improve EoL Processing:</w:t>
      </w:r>
      <w:r>
        <w:t xml:space="preserve"> </w:t>
      </w:r>
      <w:r>
        <w:t xml:space="preserve">Partner with advanced recycling facilities to ensure high-quality recycling outputs and reduce reliance on landfilling for the remaining 20% of materials.</w:t>
      </w:r>
    </w:p>
    <w:p>
      <w:pPr>
        <w:numPr>
          <w:ilvl w:val="0"/>
          <w:numId w:val="1023"/>
        </w:numPr>
        <w:pStyle w:val="Compact"/>
      </w:pPr>
      <w:r>
        <w:rPr>
          <w:bCs/>
          <w:b/>
        </w:rPr>
        <w:t xml:space="preserve">Data Granularity and Continuous Improvement:</w:t>
      </w:r>
    </w:p>
    <w:p>
      <w:pPr>
        <w:numPr>
          <w:ilvl w:val="1"/>
          <w:numId w:val="1028"/>
        </w:numPr>
        <w:pStyle w:val="Compact"/>
      </w:pPr>
      <w:r>
        <w:rPr>
          <w:bCs/>
          <w:b/>
        </w:rPr>
        <w:t xml:space="preserve">Primary Data Collection:</w:t>
      </w:r>
      <w:r>
        <w:t xml:space="preserve"> </w:t>
      </w:r>
      <w:r>
        <w:t xml:space="preserve">Systematically collect more primary data for all lifecycle stages, especially for transport distances, modes, and actual energy mixes from specific suppliers.</w:t>
      </w:r>
    </w:p>
    <w:p>
      <w:pPr>
        <w:numPr>
          <w:ilvl w:val="1"/>
          <w:numId w:val="1028"/>
        </w:numPr>
        <w:pStyle w:val="Compact"/>
      </w:pPr>
      <w:r>
        <w:rPr>
          <w:bCs/>
          <w:b/>
        </w:rPr>
        <w:t xml:space="preserve">LSR Standard Application:</w:t>
      </w:r>
      <w:r>
        <w:t xml:space="preserve"> </w:t>
      </w:r>
      <w:r>
        <w:t xml:space="preserve">For future assessments, specifically investigate if any raw materials have agricultural or land-use origins and apply the GHG Protocol\'s 2026 LSR Standard for more comprehensive reporting.</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jjqdsuyhvu</dc:title>
  <dc:creator/>
  <dc:description>High-detail Product Carbon Footprint (PCF) analysis for jjqdsuyhvu by osmgqjqyit, Senior Sustainability Consultant at pkfswwmvgy, adhering to GHG Protocol and 2026 LSR update.</dc:description>
  <dc:language>en</dc:language>
  <cp:keywords/>
  <dcterms:created xsi:type="dcterms:W3CDTF">2026-07-15T01:36:16Z</dcterms:created>
  <dcterms:modified xsi:type="dcterms:W3CDTF">2026-07-15T01:36:16Z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