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jjmtxomzko</w:t>
      </w:r>
    </w:p>
    <w:p>
      <w:pPr>
        <w:pStyle w:val="FirstParagraph"/>
      </w:pPr>
      <w:r>
        <w:t xml:space="preserve">carboncalcpcf.com</w:t>
      </w:r>
    </w:p>
    <w:bookmarkStart w:id="20" w:name="product-carbon-footprint-report"/>
    <w:p>
      <w:pPr>
        <w:pStyle w:val="Heading1"/>
      </w:pPr>
      <w:r>
        <w:t xml:space="preserve">Product Carbon Footprint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jjmtxomzko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uklwyvhmvk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ofvlizkeyd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standards, employing</w:t>
      </w:r>
      <w:r>
        <w:t xml:space="preserve"> </w:t>
      </w:r>
      <w:r>
        <w:t xml:space="preserve">estimations and recognized emission factors where primary data is unavailable.</w:t>
      </w:r>
      <w:r>
        <w:t xml:space="preserve"> </w:t>
      </w:r>
      <w:r>
        <w:t xml:space="preserve">It provides a high-level analysis and should be used for strategic guidance.</w:t>
      </w:r>
    </w:p>
    <w:p>
      <w:pPr>
        <w:pStyle w:val="BodyText"/>
      </w:pPr>
      <w:r>
        <w:t xml:space="preserve">Report Date: 2026-05-27</w:t>
      </w:r>
    </w:p>
    <w:bookmarkEnd w:id="20"/>
    <w:bookmarkStart w:id="21" w:name="product-carbon-footprint-analysis"/>
    <w:p>
      <w:pPr>
        <w:pStyle w:val="Heading1"/>
      </w:pPr>
      <w:r>
        <w:t xml:space="preserve">Product Carbon Footprint Analysis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jjmtxomzko |</w:t>
      </w:r>
      <w:r>
        <w:t xml:space="preserve"> </w:t>
      </w:r>
      <w:r>
        <w:rPr>
          <w:bCs/>
          <w:b/>
        </w:rPr>
        <w:t xml:space="preserve">Company:</w:t>
      </w:r>
      <w:r>
        <w:t xml:space="preserve"> </w:t>
      </w:r>
      <w:r>
        <w:t xml:space="preserve">uklwyvhmvk</w:t>
      </w:r>
    </w:p>
    <w:p>
      <w:pPr>
        <w:pStyle w:val="BodyText"/>
      </w:pPr>
      <w:r>
        <w:rPr>
          <w:bCs/>
          <w:b/>
        </w:rPr>
        <w:t xml:space="preserve">Report Date:</w:t>
      </w:r>
      <w:r>
        <w:t xml:space="preserve"> </w:t>
      </w:r>
      <w:r>
        <w:t xml:space="preserve">2026-05-27 |</w:t>
      </w:r>
      <w:r>
        <w:t xml:space="preserve"> </w:t>
      </w:r>
      <w:r>
        <w:rPr>
          <w:bCs/>
          <w:b/>
        </w:rPr>
        <w:t xml:space="preserve">Consultant:</w:t>
      </w:r>
      <w:r>
        <w:t xml:space="preserve"> </w:t>
      </w:r>
      <w:r>
        <w:t xml:space="preserve">ofvlizkeyd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jjmtxomzko</w:t>
      </w:r>
      <w:r>
        <w:t xml:space="preserve">,</w:t>
      </w:r>
      <w:r>
        <w:t xml:space="preserve"> </w:t>
      </w:r>
      <w:r>
        <w:t xml:space="preserve">produced by</w:t>
      </w:r>
      <w:r>
        <w:t xml:space="preserve"> </w:t>
      </w:r>
      <w:r>
        <w:rPr>
          <w:bCs/>
          <w:b/>
        </w:rPr>
        <w:t xml:space="preserve">uklwyvhmvk</w:t>
      </w:r>
      <w:r>
        <w:t xml:space="preserve">. The analysis, conducted by Senior Sustainability Consultant</w:t>
      </w:r>
      <w:r>
        <w:t xml:space="preserve"> </w:t>
      </w:r>
      <w:r>
        <w:rPr>
          <w:bCs/>
          <w:b/>
        </w:rPr>
        <w:t xml:space="preserve">ofvlizkeyd</w:t>
      </w:r>
      <w:r>
        <w:t xml:space="preserve">, adheres strictly to the GHG Protocol. The total cradle-to-gate PCF for one functional unit</w:t>
      </w:r>
      <w:r>
        <w:t xml:space="preserve"> </w:t>
      </w:r>
      <w:r>
        <w:t xml:space="preserve">of jjmtxomzko is calculated to be approximately</w:t>
      </w:r>
      <w:r>
        <w:t xml:space="preserve"> </w:t>
      </w:r>
      <w:r>
        <w:rPr>
          <w:bCs/>
          <w:b/>
        </w:rPr>
        <w:t xml:space="preserve">17.50 kg CO2e</w:t>
      </w:r>
      <w:r>
        <w:t xml:space="preserve">.</w:t>
      </w:r>
      <w:r>
        <w:t xml:space="preserve"> </w:t>
      </w:r>
      <w:r>
        <w:t xml:space="preserve">Material acquisition and processing, the use phase, and manufacturing are identified as primary hotspots,</w:t>
      </w:r>
      <w:r>
        <w:t xml:space="preserve"> </w:t>
      </w:r>
      <w:r>
        <w:t xml:space="preserve">underscoring areas for potential emission reduction efforts. The analysis incorporates a 2026 Land Sector and Removals (LSR) Standard update</w:t>
      </w:r>
      <w:r>
        <w:t xml:space="preserve"> </w:t>
      </w:r>
      <w:r>
        <w:t xml:space="preserve">and ensures robust Scope 3 compliance.</w:t>
      </w:r>
    </w:p>
    <w:p>
      <w:r>
        <w:pict>
          <v:rect style="width:0;height:1.5pt" o:hralign="center" o:hrstd="t" o:hr="t"/>
        </w:pict>
      </w:r>
    </w:p>
    <w:bookmarkEnd w:id="22"/>
    <w:bookmarkStart w:id="23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increasing global focus on climate change necessitates comprehensive carbon footprint assessments.</w:t>
      </w:r>
      <w:r>
        <w:t xml:space="preserve"> </w:t>
      </w:r>
      <w:r>
        <w:t xml:space="preserve">This report provides a detailed Product Carbon Footprint (PCF) for</w:t>
      </w:r>
      <w:r>
        <w:t xml:space="preserve"> </w:t>
      </w:r>
      <w:r>
        <w:rPr>
          <w:bCs/>
          <w:b/>
        </w:rPr>
        <w:t xml:space="preserve">jjmtxomzko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uklwyvhmvk</w:t>
      </w:r>
      <w:r>
        <w:t xml:space="preserve">, following the Greenhouse Gas (GHG) Protocol standards.</w:t>
      </w:r>
      <w:r>
        <w:t xml:space="preserve"> </w:t>
      </w:r>
      <w:r>
        <w:t xml:space="preserve">The aim is to quantify the greenhouse gas emissions associated with the product\'s lifecycle,</w:t>
      </w:r>
      <w:r>
        <w:t xml:space="preserve"> </w:t>
      </w:r>
      <w:r>
        <w:t xml:space="preserve">identify emission hotspots, and provide actionable insights for sustainability improvements.</w:t>
      </w:r>
    </w:p>
    <w:p>
      <w:r>
        <w:pict>
          <v:rect style="width:0;height:1.5pt" o:hralign="center" o:hrstd="t" o:hr="t"/>
        </w:pict>
      </w:r>
    </w:p>
    <w:bookmarkEnd w:id="23"/>
    <w:bookmarkStart w:id="33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(PCF) analysis was conducted following the five key steps outlined by the GHG Protocol:</w:t>
      </w:r>
    </w:p>
    <w:p>
      <w:pPr>
        <w:numPr>
          <w:ilvl w:val="0"/>
          <w:numId w:val="1001"/>
        </w:numPr>
        <w:pStyle w:val="Heading3"/>
      </w:pPr>
      <w:bookmarkStart w:id="24" w:name="define-scope"/>
      <w:r>
        <w:t xml:space="preserve">Define Scope</w:t>
      </w:r>
      <w:bookmarkEnd w:id="24"/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jjmtxomzko.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Cradle-to-gate, encompassing material acquisition, manufacturing, distribution, use, and end-of-life.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with a Supply Chain Focus on Europe for material sourcing and distribution.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 based on mass, energy consumption, and activity data.</w:t>
      </w:r>
    </w:p>
    <w:p>
      <w:pPr>
        <w:numPr>
          <w:ilvl w:val="0"/>
          <w:numId w:val="1001"/>
        </w:numPr>
        <w:pStyle w:val="Heading3"/>
      </w:pPr>
      <w:bookmarkStart w:id="25" w:name="map-lifecycle-lci-inventory-stages"/>
      <w:r>
        <w:t xml:space="preserve">Map Lifecycle (LCI Inventory Stages)</w:t>
      </w:r>
      <w:bookmarkEnd w:id="25"/>
    </w:p>
    <w:p>
      <w:pPr>
        <w:numPr>
          <w:ilvl w:val="0"/>
          <w:numId w:val="1000"/>
        </w:numPr>
      </w:pPr>
      <w:r>
        <w:t xml:space="preserve">The lifecycle stages considered for jjmtxomzko include:</w:t>
      </w:r>
    </w:p>
    <w:p>
      <w:pPr>
        <w:numPr>
          <w:ilvl w:val="1"/>
          <w:numId w:val="1003"/>
        </w:numPr>
        <w:pStyle w:val="Compact"/>
      </w:pPr>
      <w:r>
        <w:t xml:space="preserve">Material Acquisition &amp; Pre-processing: Extraction of raw materials and their initial processing.</w:t>
      </w:r>
    </w:p>
    <w:p>
      <w:pPr>
        <w:numPr>
          <w:ilvl w:val="1"/>
          <w:numId w:val="1003"/>
        </w:numPr>
        <w:pStyle w:val="Compact"/>
      </w:pPr>
      <w:r>
        <w:t xml:space="preserve">Manufacturing &amp; Production: Fabrication, assembly, and packaging at the factory.</w:t>
      </w:r>
    </w:p>
    <w:p>
      <w:pPr>
        <w:numPr>
          <w:ilvl w:val="1"/>
          <w:numId w:val="1003"/>
        </w:numPr>
        <w:pStyle w:val="Compact"/>
      </w:pPr>
      <w:r>
        <w:t xml:space="preserve">Transport &amp; Distribution: Logistics of raw materials to the factory, and finished product to the end-consumer.</w:t>
      </w:r>
    </w:p>
    <w:p>
      <w:pPr>
        <w:numPr>
          <w:ilvl w:val="1"/>
          <w:numId w:val="1003"/>
        </w:numPr>
        <w:pStyle w:val="Compact"/>
      </w:pPr>
      <w:r>
        <w:t xml:space="preserve">Use Phase: Energy consumption during the product\'s operational lifespan.</w:t>
      </w:r>
    </w:p>
    <w:p>
      <w:pPr>
        <w:numPr>
          <w:ilvl w:val="1"/>
          <w:numId w:val="1003"/>
        </w:numPr>
        <w:pStyle w:val="Compact"/>
      </w:pPr>
      <w:r>
        <w:t xml:space="preserve">End-of-Life: Disposal or recycling of the product and its components.</w:t>
      </w:r>
    </w:p>
    <w:p>
      <w:pPr>
        <w:numPr>
          <w:ilvl w:val="0"/>
          <w:numId w:val="1001"/>
        </w:numPr>
        <w:pStyle w:val="Heading3"/>
      </w:pPr>
      <w:bookmarkStart w:id="26" w:name="collect-data"/>
      <w:r>
        <w:t xml:space="preserve">Collect Data</w:t>
      </w:r>
      <w:bookmarkEnd w:id="26"/>
    </w:p>
    <w:p>
      <w:pPr>
        <w:numPr>
          <w:ilvl w:val="0"/>
          <w:numId w:val="1000"/>
        </w:numPr>
      </w:pPr>
      <w:r>
        <w:t xml:space="preserve">Data collection involved a combination of primary and secondary data points: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Company-specific parameters such as renewable energy usage, energy intensity, product lifespan, energy consumption in use, recyclability percentage, and circular/take-back programs.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(e.g., from Ecoinvent/DEFRA equivalents) for materials, energy mixes, and transportation modes. These factors are explicitly cited in the calculations.</w:t>
      </w:r>
    </w:p>
    <w:p>
      <w:pPr>
        <w:numPr>
          <w:ilvl w:val="0"/>
          <w:numId w:val="1000"/>
        </w:numPr>
        <w:pStyle w:val="Heading4"/>
      </w:pPr>
      <w:bookmarkStart w:id="27" w:name="X6d8782f06950669c1915e374a5ed19ce8c6a141"/>
      <w:r>
        <w:t xml:space="preserve">Detailed Bill of Materials (BOM) for jjmtxomzko (hnrssqzf)</w:t>
      </w:r>
      <w:bookmarkEnd w:id="27"/>
    </w:p>
    <w:p>
      <w:pPr>
        <w:numPr>
          <w:ilvl w:val="0"/>
          <w:numId w:val="1000"/>
        </w:numPr>
      </w:pPr>
      <w:r>
        <w:t xml:space="preserve">The following detailed Bill of Materials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CO2e/{\'Unit\'})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Calculated 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Alloy (Primary)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(Virgin)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Integrated Circuit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piece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Cardboard 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</w:tbl>
    <w:p>
      <w:pPr>
        <w:numPr>
          <w:ilvl w:val="0"/>
          <w:numId w:val="1000"/>
        </w:numPr>
      </w:pPr>
      <w:r>
        <w:rPr>
          <w:bCs/>
          <w:b/>
        </w:rPr>
        <w:t xml:space="preserve">Total Product Mass (excluding packaging):</w:t>
      </w:r>
      <w:r>
        <w:t xml:space="preserve"> </w:t>
      </w:r>
      <w:r>
        <w:t xml:space="preserve">0.86 kg</w:t>
      </w:r>
    </w:p>
    <w:p>
      <w:pPr>
        <w:numPr>
          <w:ilvl w:val="0"/>
          <w:numId w:val="1000"/>
        </w:numPr>
        <w:pStyle w:val="Heading4"/>
      </w:pPr>
      <w:bookmarkStart w:id="28" w:name="energy-customization-data"/>
      <w:r>
        <w:t xml:space="preserve">Energy Customization Data:</w:t>
      </w:r>
      <w:bookmarkEnd w:id="28"/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 [cite: dtvlkeovey]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t xml:space="preserve">15 kWh/unit [cite: jozyoduies]</w:t>
      </w:r>
    </w:p>
    <w:p>
      <w:pPr>
        <w:numPr>
          <w:ilvl w:val="0"/>
          <w:numId w:val="1000"/>
        </w:numPr>
        <w:pStyle w:val="Heading4"/>
      </w:pPr>
      <w:bookmarkStart w:id="29" w:name="logistics-data"/>
      <w:r>
        <w:t xml:space="preserve">Logistics Data:</w:t>
      </w:r>
      <w:bookmarkEnd w:id="29"/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Upstream Transport Mode (Components):</w:t>
      </w:r>
      <w:r>
        <w:t xml:space="preserve"> </w:t>
      </w:r>
      <w:r>
        <w:t xml:space="preserve">Road Freight (HGV &gt; 16t) [cite: Select Mode]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Upstream Transport Distance (Components to China factory):</w:t>
      </w:r>
      <w:r>
        <w:t xml:space="preserve"> </w:t>
      </w:r>
      <w:r>
        <w:t xml:space="preserve">2000 km [cite: rmgumyvqlg]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Mode (Factory to Europe):</w:t>
      </w:r>
      <w:r>
        <w:t xml:space="preserve"> </w:t>
      </w:r>
      <w:r>
        <w:t xml:space="preserve">Container Ship and Road Freight (HGV &gt; 16t)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Distance (Sea):</w:t>
      </w:r>
      <w:r>
        <w:t xml:space="preserve"> </w:t>
      </w:r>
      <w:r>
        <w:t xml:space="preserve">18000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Downstream Transport Distance (Road in Europe):</w:t>
      </w:r>
      <w:r>
        <w:t xml:space="preserve"> </w:t>
      </w:r>
      <w:r>
        <w:t xml:space="preserve">500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Post [cite: Delivery Type]</w:t>
      </w:r>
    </w:p>
    <w:p>
      <w:pPr>
        <w:numPr>
          <w:ilvl w:val="0"/>
          <w:numId w:val="1000"/>
        </w:numPr>
        <w:pStyle w:val="Heading4"/>
      </w:pPr>
      <w:bookmarkStart w:id="30" w:name="use-phase-end-of-life-data"/>
      <w:r>
        <w:t xml:space="preserve">Use Phase &amp; End-of-Life Data:</w:t>
      </w:r>
      <w:bookmarkEnd w:id="30"/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[cite: muggzuyrnm]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 kWh/year [cite: dyymunktuy]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[cite: sslqmkyoyt]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[cite: xkhzheywjo]</w:t>
      </w:r>
    </w:p>
    <w:p>
      <w:pPr>
        <w:numPr>
          <w:ilvl w:val="0"/>
          <w:numId w:val="1001"/>
        </w:numPr>
        <w:pStyle w:val="Heading3"/>
      </w:pPr>
      <w:bookmarkStart w:id="31" w:name="calculate-emissions"/>
      <w:r>
        <w:t xml:space="preserve">Calculate Emissions</w:t>
      </w:r>
      <w:bookmarkEnd w:id="31"/>
    </w:p>
    <w:p>
      <w:pPr>
        <w:numPr>
          <w:ilvl w:val="0"/>
          <w:numId w:val="1000"/>
        </w:numPr>
      </w:pPr>
      <w:r>
        <w:t xml:space="preserve">Emissions were calculated using the formula: Activity Data × Emission Factor = CO2e. Emission factors were sourced from industry-recognized databases (e.g., Ecoinvent/DEFRA equivalents) and are cited accordingly.</w:t>
      </w:r>
    </w:p>
    <w:p>
      <w:pPr>
        <w:numPr>
          <w:ilvl w:val="0"/>
          <w:numId w:val="1001"/>
        </w:numPr>
        <w:pStyle w:val="Heading3"/>
      </w:pPr>
      <w:bookmarkStart w:id="32" w:name="review-report"/>
      <w:r>
        <w:t xml:space="preserve">Review &amp; Report</w:t>
      </w:r>
      <w:bookmarkEnd w:id="32"/>
    </w:p>
    <w:p>
      <w:pPr>
        <w:numPr>
          <w:ilvl w:val="0"/>
          <w:numId w:val="1000"/>
        </w:numPr>
      </w:pPr>
      <w:r>
        <w:t xml:space="preserve">The analysis identifies emission hotspots and provides insights into the reliability of the data used.</w:t>
      </w:r>
    </w:p>
    <w:p>
      <w:r>
        <w:pict>
          <v:rect style="width:0;height:1.5pt" o:hralign="center" o:hrstd="t" o:hr="t"/>
        </w:pict>
      </w:r>
    </w:p>
    <w:bookmarkEnd w:id="33"/>
    <w:bookmarkStart w:id="39" w:name="X22ecfbade5bd6722c74a4b712addebad337ca00"/>
    <w:p>
      <w:pPr>
        <w:pStyle w:val="Heading2"/>
      </w:pPr>
      <w:r>
        <w:t xml:space="preserve">3. Product Carbon Footprint Analysis for jjmtxomzko</w:t>
      </w:r>
    </w:p>
    <w:p>
      <w:pPr>
        <w:pStyle w:val="FirstParagraph"/>
      </w:pPr>
      <w:r>
        <w:t xml:space="preserve">The following sections detail the carbon emissions for each lifecycle stage of jjmtxomzko:</w:t>
      </w:r>
    </w:p>
    <w:bookmarkStart w:id="34" w:name="Xaba5523aba1f6bd1e273687bff33249e24352bc"/>
    <w:p>
      <w:pPr>
        <w:pStyle w:val="Heading3"/>
      </w:pPr>
      <w:r>
        <w:t xml:space="preserve">3.1. Material Acquisition &amp; Processing (Scope 3 Upstream)</w:t>
      </w:r>
    </w:p>
    <w:p>
      <w:pPr>
        <w:pStyle w:val="FirstParagraph"/>
      </w:pPr>
      <w:r>
        <w:t xml:space="preserve">This stage includes emissions from the extraction, processing, and manufacturing of raw materials as detailed in the Bill of Materials (BOM).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Material Emissions:</w:t>
      </w:r>
      <w:r>
        <w:t xml:space="preserve"> </w:t>
      </w:r>
      <w:r>
        <w:t xml:space="preserve">6.76 kg CO2e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materials and their impacts:</w:t>
      </w:r>
    </w:p>
    <w:p>
      <w:pPr>
        <w:numPr>
          <w:ilvl w:val="1"/>
          <w:numId w:val="1009"/>
        </w:numPr>
        <w:pStyle w:val="Compact"/>
      </w:pPr>
      <w:r>
        <w:t xml:space="preserve">Aluminium Alloy (Primary) (0.5 kg): 5.00 kg CO2e (Emission Factor: 10.00 kg CO2e/kg)</w:t>
      </w:r>
    </w:p>
    <w:p>
      <w:pPr>
        <w:numPr>
          <w:ilvl w:val="1"/>
          <w:numId w:val="1009"/>
        </w:numPr>
        <w:pStyle w:val="Compact"/>
      </w:pPr>
      <w:r>
        <w:t xml:space="preserve">ABS Plastic (Virgin) (0.2 kg): 0.70 kg CO2e (Emission Factor: 3.50 kg CO2e/kg)</w:t>
      </w:r>
    </w:p>
    <w:p>
      <w:pPr>
        <w:numPr>
          <w:ilvl w:val="1"/>
          <w:numId w:val="1009"/>
        </w:numPr>
        <w:pStyle w:val="Compact"/>
      </w:pPr>
      <w:r>
        <w:t xml:space="preserve">Integrated Circuit (1 piece): 0.80 kg CO2e (Emission Factor: 0.80 kg CO2e/piece)</w:t>
      </w:r>
    </w:p>
    <w:p>
      <w:pPr>
        <w:numPr>
          <w:ilvl w:val="1"/>
          <w:numId w:val="1009"/>
        </w:numPr>
        <w:pStyle w:val="Compact"/>
      </w:pPr>
      <w:r>
        <w:t xml:space="preserve">Cardboard Packaging (0.1 kg): 0.06 kg CO2e (Emission Factor: 0.60 kg CO2e/kg)</w:t>
      </w:r>
    </w:p>
    <w:p>
      <w:pPr>
        <w:numPr>
          <w:ilvl w:val="1"/>
          <w:numId w:val="1009"/>
        </w:numPr>
        <w:pStyle w:val="Compact"/>
      </w:pPr>
      <w:r>
        <w:t xml:space="preserve">Copper Wire (0.05 kg): 0.20 kg CO2e (Emission Factor: 4.00 kg CO2e/kg)</w:t>
      </w:r>
    </w:p>
    <w:bookmarkEnd w:id="34"/>
    <w:bookmarkStart w:id="35" w:name="X526a1bcfb9299f35f725e1ed798a4b98f052582"/>
    <w:p>
      <w:pPr>
        <w:pStyle w:val="Heading3"/>
      </w:pPr>
      <w:r>
        <w:t xml:space="preserve">3.2. Manufacturing &amp; Production (Scope 1, 2 &amp; 3 Upstream)</w:t>
      </w:r>
    </w:p>
    <w:p>
      <w:pPr>
        <w:pStyle w:val="FirstParagraph"/>
      </w:pPr>
      <w:r>
        <w:t xml:space="preserve">This covers the emissions from the factory where jjmtxomzko is assembled in China.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1 Emissions (Direct, e.g., on-site fuel combustion):</w:t>
      </w:r>
      <w:r>
        <w:t xml:space="preserve"> </w:t>
      </w:r>
      <w:r>
        <w:t xml:space="preserve">0.50 kg CO2e [Assumed]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2 Emissions (Purchased Electricity):</w:t>
      </w:r>
    </w:p>
    <w:p>
      <w:pPr>
        <w:numPr>
          <w:ilvl w:val="1"/>
          <w:numId w:val="1011"/>
        </w:numPr>
        <w:pStyle w:val="Compact"/>
      </w:pPr>
      <w:r>
        <w:t xml:space="preserve">Energy Intensity: 15 kWh/unit [cite: jozyoduies]</w:t>
      </w:r>
    </w:p>
    <w:p>
      <w:pPr>
        <w:numPr>
          <w:ilvl w:val="1"/>
          <w:numId w:val="1011"/>
        </w:numPr>
        <w:pStyle w:val="Compact"/>
      </w:pPr>
      <w:r>
        <w:t xml:space="preserve">Renewable Energy Usage: 70% [cite: dtvlkeovey]</w:t>
      </w:r>
    </w:p>
    <w:p>
      <w:pPr>
        <w:numPr>
          <w:ilvl w:val="1"/>
          <w:numId w:val="1011"/>
        </w:numPr>
        <w:pStyle w:val="Compact"/>
      </w:pPr>
      <w:r>
        <w:t xml:space="preserve">Non-Renewable Energy: 4.50 kWh/unit</w:t>
      </w:r>
    </w:p>
    <w:p>
      <w:pPr>
        <w:numPr>
          <w:ilvl w:val="1"/>
          <w:numId w:val="1011"/>
        </w:numPr>
        <w:pStyle w:val="Compact"/>
      </w:pPr>
      <w:r>
        <w:t xml:space="preserve">China Grid Emission Factor: 0.577 kg CO2e/kWh</w:t>
      </w:r>
    </w:p>
    <w:p>
      <w:pPr>
        <w:numPr>
          <w:ilvl w:val="1"/>
          <w:numId w:val="1011"/>
        </w:numPr>
        <w:pStyle w:val="Compac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2.60 kg CO2e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3 Upstream Emissions (Manufacturing Overheads):</w:t>
      </w:r>
      <w:r>
        <w:t xml:space="preserve"> </w:t>
      </w:r>
      <w:r>
        <w:t xml:space="preserve">0.20 kg CO2e [Assumed, not included in BOM material factors]</w:t>
      </w:r>
    </w:p>
    <w:bookmarkEnd w:id="35"/>
    <w:bookmarkStart w:id="36" w:name="X45e388afdf7a8647ab796ac0e85ba0258580a0e"/>
    <w:p>
      <w:pPr>
        <w:pStyle w:val="Heading3"/>
      </w:pPr>
      <w:r>
        <w:t xml:space="preserve">3.3. Transport &amp; Distribution (Scope 3 Upstream &amp; Downstream)</w:t>
      </w:r>
    </w:p>
    <w:p>
      <w:pPr>
        <w:pStyle w:val="FirstParagraph"/>
      </w:pPr>
      <w:r>
        <w:t xml:space="preserve">Emissions from transporting components to the factory and distributing the finished product.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Upstream Transport (Components from Europe to China factory):</w:t>
      </w:r>
    </w:p>
    <w:p>
      <w:pPr>
        <w:numPr>
          <w:ilvl w:val="1"/>
          <w:numId w:val="1013"/>
        </w:numPr>
        <w:pStyle w:val="Compact"/>
      </w:pPr>
      <w:r>
        <w:t xml:space="preserve">Mode: Road Freight (HGV &gt; 16t) [cite: Select Mode]</w:t>
      </w:r>
    </w:p>
    <w:p>
      <w:pPr>
        <w:numPr>
          <w:ilvl w:val="1"/>
          <w:numId w:val="1013"/>
        </w:numPr>
        <w:pStyle w:val="Compact"/>
      </w:pPr>
      <w:r>
        <w:t xml:space="preserve">Distance: 2000 km [cite: rmgumyvqlg]</w:t>
      </w:r>
    </w:p>
    <w:p>
      <w:pPr>
        <w:numPr>
          <w:ilvl w:val="1"/>
          <w:numId w:val="1013"/>
        </w:numPr>
        <w:pStyle w:val="Compact"/>
      </w:pPr>
      <w:r>
        <w:t xml:space="preserve">Product Mass for Transport: 0.86 kg</w:t>
      </w:r>
    </w:p>
    <w:p>
      <w:pPr>
        <w:numPr>
          <w:ilvl w:val="1"/>
          <w:numId w:val="1013"/>
        </w:numPr>
        <w:pStyle w:val="Compact"/>
      </w:pPr>
      <w:r>
        <w:t xml:space="preserve">Road Freight Emission Factor: 0.062 kg CO2e/tonne-km</w:t>
      </w:r>
    </w:p>
    <w:p>
      <w:pPr>
        <w:numPr>
          <w:ilvl w:val="1"/>
          <w:numId w:val="1013"/>
        </w:numPr>
        <w:pStyle w:val="Compact"/>
      </w:pPr>
      <w:r>
        <w:rPr>
          <w:bCs/>
          <w:b/>
        </w:rPr>
        <w:t xml:space="preserve">Total Upstream Road Emissions:</w:t>
      </w:r>
      <w:r>
        <w:t xml:space="preserve"> </w:t>
      </w:r>
      <w:r>
        <w:t xml:space="preserve">0.11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Downstream Transport (From China factory to Europe distribution hubs):</w:t>
      </w:r>
    </w:p>
    <w:p>
      <w:pPr>
        <w:numPr>
          <w:ilvl w:val="1"/>
          <w:numId w:val="1014"/>
        </w:numPr>
        <w:pStyle w:val="Compact"/>
      </w:pPr>
      <w:r>
        <w:t xml:space="preserve">Sea Freight (Factory to European Port):</w:t>
      </w:r>
    </w:p>
    <w:p>
      <w:pPr>
        <w:numPr>
          <w:ilvl w:val="2"/>
          <w:numId w:val="1015"/>
        </w:numPr>
        <w:pStyle w:val="Compact"/>
      </w:pPr>
      <w:r>
        <w:t xml:space="preserve">Mode: Container Ship</w:t>
      </w:r>
    </w:p>
    <w:p>
      <w:pPr>
        <w:numPr>
          <w:ilvl w:val="2"/>
          <w:numId w:val="1015"/>
        </w:numPr>
        <w:pStyle w:val="Compact"/>
      </w:pPr>
      <w:r>
        <w:t xml:space="preserve">Distance: 18000 km</w:t>
      </w:r>
    </w:p>
    <w:p>
      <w:pPr>
        <w:numPr>
          <w:ilvl w:val="2"/>
          <w:numId w:val="1015"/>
        </w:numPr>
        <w:pStyle w:val="Compact"/>
      </w:pPr>
      <w:r>
        <w:t xml:space="preserve">Sea Freight Emission Factor: 0.0160 kg CO2e/tonne-km</w:t>
      </w:r>
    </w:p>
    <w:p>
      <w:pPr>
        <w:numPr>
          <w:ilvl w:val="2"/>
          <w:numId w:val="1015"/>
        </w:numPr>
        <w:pStyle w:val="Compact"/>
      </w:pPr>
      <w:r>
        <w:rPr>
          <w:bCs/>
          <w:b/>
        </w:rPr>
        <w:t xml:space="preserve">Total Downstream Sea Freight Emissions:</w:t>
      </w:r>
      <w:r>
        <w:t xml:space="preserve"> </w:t>
      </w:r>
      <w:r>
        <w:t xml:space="preserve">0.25 kg CO2e</w:t>
      </w:r>
    </w:p>
    <w:p>
      <w:pPr>
        <w:numPr>
          <w:ilvl w:val="1"/>
          <w:numId w:val="1014"/>
        </w:numPr>
        <w:pStyle w:val="Compact"/>
      </w:pPr>
      <w:r>
        <w:t xml:space="preserve">Road Freight (European Port to Distribution Centers):</w:t>
      </w:r>
    </w:p>
    <w:p>
      <w:pPr>
        <w:numPr>
          <w:ilvl w:val="2"/>
          <w:numId w:val="1016"/>
        </w:numPr>
        <w:pStyle w:val="Compact"/>
      </w:pPr>
      <w:r>
        <w:t xml:space="preserve">Mode: Road Freight (HGV &gt; 16t)</w:t>
      </w:r>
    </w:p>
    <w:p>
      <w:pPr>
        <w:numPr>
          <w:ilvl w:val="2"/>
          <w:numId w:val="1016"/>
        </w:numPr>
        <w:pStyle w:val="Compact"/>
      </w:pPr>
      <w:r>
        <w:t xml:space="preserve">Distance: 500 km</w:t>
      </w:r>
    </w:p>
    <w:p>
      <w:pPr>
        <w:numPr>
          <w:ilvl w:val="2"/>
          <w:numId w:val="1016"/>
        </w:numPr>
        <w:pStyle w:val="Compact"/>
      </w:pPr>
      <w:r>
        <w:t xml:space="preserve">Road Freight Emission Factor: 0.062 kg CO2e/tonne-km</w:t>
      </w:r>
    </w:p>
    <w:p>
      <w:pPr>
        <w:numPr>
          <w:ilvl w:val="2"/>
          <w:numId w:val="1016"/>
        </w:numPr>
        <w:pStyle w:val="Compact"/>
      </w:pPr>
      <w:r>
        <w:rPr>
          <w:bCs/>
          <w:b/>
        </w:rPr>
        <w:t xml:space="preserve">Total Downstream Road Freight Emissions:</w:t>
      </w:r>
      <w:r>
        <w:t xml:space="preserve"> </w:t>
      </w:r>
      <w:r>
        <w:t xml:space="preserve">0.03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Last-Mile Delivery (to end-consumer in Europe):</w:t>
      </w:r>
    </w:p>
    <w:p>
      <w:pPr>
        <w:numPr>
          <w:ilvl w:val="1"/>
          <w:numId w:val="1017"/>
        </w:numPr>
        <w:pStyle w:val="Compact"/>
      </w:pPr>
      <w:r>
        <w:t xml:space="preserve">Channel: Parcel Post [cite: Delivery Type]</w:t>
      </w:r>
    </w:p>
    <w:p>
      <w:pPr>
        <w:numPr>
          <w:ilvl w:val="1"/>
          <w:numId w:val="1017"/>
        </w:numPr>
        <w:pStyle w:val="Compact"/>
      </w:pPr>
      <w:r>
        <w:t xml:space="preserve">Parcel Delivery Emission Factor: 1.075 kg CO2e/parcel</w:t>
      </w:r>
    </w:p>
    <w:p>
      <w:pPr>
        <w:numPr>
          <w:ilvl w:val="1"/>
          <w:numId w:val="1017"/>
        </w:numPr>
        <w:pStyle w:val="Compact"/>
      </w:pPr>
      <w:r>
        <w:rPr>
          <w:bCs/>
          <w:b/>
        </w:rPr>
        <w:t xml:space="preserve">Total Last-Mile Emissions:</w:t>
      </w:r>
      <w:r>
        <w:t xml:space="preserve"> </w:t>
      </w:r>
      <w:r>
        <w:t xml:space="preserve">1.08 kg CO2e</w:t>
      </w:r>
    </w:p>
    <w:bookmarkEnd w:id="36"/>
    <w:bookmarkStart w:id="37" w:name="use-phase-scope-3-downstream"/>
    <w:p>
      <w:pPr>
        <w:pStyle w:val="Heading3"/>
      </w:pPr>
      <w:r>
        <w:t xml:space="preserve">3.4. Use Phase (Scope 3 Downstream)</w:t>
      </w:r>
    </w:p>
    <w:p>
      <w:pPr>
        <w:pStyle w:val="FirstParagraph"/>
      </w:pPr>
      <w:r>
        <w:t xml:space="preserve">Emissions from the product\'s energy consumption during its active lifespan.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[cite: muggzuyrnm]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 kWh/year [cite: dyymunktuy]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25.00 kWh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European Grid Emission Factor:</w:t>
      </w:r>
      <w:r>
        <w:t xml:space="preserve"> </w:t>
      </w:r>
      <w:r>
        <w:t xml:space="preserve">0.2883 kg CO2e/kWh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Total Use Phase Emissions:</w:t>
      </w:r>
      <w:r>
        <w:t xml:space="preserve"> </w:t>
      </w:r>
      <w:r>
        <w:t xml:space="preserve">7.21 kg CO2e</w:t>
      </w:r>
    </w:p>
    <w:bookmarkEnd w:id="37"/>
    <w:bookmarkStart w:id="38" w:name="end-of-life-eol-scope-3-downstream"/>
    <w:p>
      <w:pPr>
        <w:pStyle w:val="Heading3"/>
      </w:pPr>
      <w:r>
        <w:t xml:space="preserve">3.5. End-of-Life (EoL) (Scope 3 Downstream)</w:t>
      </w:r>
    </w:p>
    <w:p>
      <w:pPr>
        <w:pStyle w:val="FirstParagraph"/>
      </w:pPr>
      <w:r>
        <w:t xml:space="preserve">Emissions associated with the product\'s disposal or recycling.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 [cite: sslqmkyoyt]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Active Take-back Program [cite: xkhzheywjo]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Mass Disposed (not recycled):</w:t>
      </w:r>
      <w:r>
        <w:t xml:space="preserve"> </w:t>
      </w:r>
      <w:r>
        <w:t xml:space="preserve">0.17 kg (20% of total product mass)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EoL Disposal Emission Factor:</w:t>
      </w:r>
      <w:r>
        <w:t xml:space="preserve"> </w:t>
      </w:r>
      <w:r>
        <w:t xml:space="preserve">2.0 kg CO2e/kg (for non-recycled waste, particularly plastics)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Total EoL Disposal Emissions:</w:t>
      </w:r>
      <w:r>
        <w:t xml:space="preserve"> </w:t>
      </w:r>
      <w:r>
        <w:t xml:space="preserve">0.34 kg CO2e</w:t>
      </w:r>
    </w:p>
    <w:p>
      <w:pPr>
        <w:numPr>
          <w:ilvl w:val="0"/>
          <w:numId w:val="1019"/>
        </w:numPr>
        <w:pStyle w:val="Compact"/>
      </w:pPr>
      <w:r>
        <w:rPr>
          <w:iCs/>
          <w:i/>
        </w:rPr>
        <w:t xml:space="preserve">Note:</w:t>
      </w:r>
      <w:r>
        <w:t xml:space="preserve"> </w:t>
      </w:r>
      <w:r>
        <w:t xml:space="preserve">The presence of an "Active Take-back Program" [cite: xkhzheywjo] implies efforts to maximize recycling and potentially reuse, which would further reduce the net EoL impact by avoiding primary material production. This report quantifies the emissions from the unrecycled portion.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0" w:name="overall-product-carbon-footprint-summary"/>
    <w:p>
      <w:pPr>
        <w:pStyle w:val="Heading2"/>
      </w:pPr>
      <w:r>
        <w:t xml:space="preserve">Overall Product Carbon Footprint Summary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&amp; Production (Scope 1 &amp;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17.50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100.0%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ghg-protocol-categorization"/>
    <w:p>
      <w:pPr>
        <w:pStyle w:val="Heading2"/>
      </w:pPr>
      <w:r>
        <w:t xml:space="preserve">4. GHG Protocol Categorization</w:t>
      </w:r>
    </w:p>
    <w:p>
      <w:pPr>
        <w:pStyle w:val="FirstParagraph"/>
      </w:pPr>
      <w:r>
        <w:t xml:space="preserve">In accordance with the GHG Protocol, emissions are categorized as follows: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0.50 kg CO2e</w:t>
      </w:r>
    </w:p>
    <w:p>
      <w:pPr>
        <w:numPr>
          <w:ilvl w:val="0"/>
          <w:numId w:val="1000"/>
        </w:numPr>
      </w:pPr>
      <w:r>
        <w:t xml:space="preserve">Emissions from sources owned or controlled by uklwyvhmvk (e.g., fuel combustion in owned vehicles or facilities).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2 (Indirect Emissions from Purchased Energy):</w:t>
      </w:r>
      <w:r>
        <w:t xml:space="preserve"> </w:t>
      </w:r>
      <w:r>
        <w:t xml:space="preserve">2.60 kg CO2e</w:t>
      </w:r>
    </w:p>
    <w:p>
      <w:pPr>
        <w:numPr>
          <w:ilvl w:val="0"/>
          <w:numId w:val="1000"/>
        </w:numPr>
      </w:pPr>
      <w:r>
        <w:t xml:space="preserve">Emissions from the generation of purchased electricity, heat, or steam consumed by uklwyvhmvk.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Scope 3 (Other Indirect Emissions from the Value Chain):</w:t>
      </w:r>
      <w:r>
        <w:t xml:space="preserve"> </w:t>
      </w:r>
      <w:r>
        <w:t xml:space="preserve">14.40 kg CO2e</w:t>
      </w:r>
    </w:p>
    <w:p>
      <w:pPr>
        <w:numPr>
          <w:ilvl w:val="0"/>
          <w:numId w:val="1000"/>
        </w:numPr>
      </w:pPr>
      <w:r>
        <w:t xml:space="preserve">All other indirect emissions that occur in the value chain of uklwyvhmvk, both upstream and downstream. This includes material production, transportation, use-phase, and end-of-life.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Ind w:w="720" w:type="dxa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 3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Overheads (Other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0.34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2" w:name="X443067910ff82eef3d3dda39dcd3ae097ee5df7"/>
    <w:p>
      <w:pPr>
        <w:pStyle w:val="Heading2"/>
      </w:pPr>
      <w:r>
        <w:t xml:space="preserve">5. 2026 LSR Update: Application of Land Sector and Removals (LSR) Standard</w:t>
      </w:r>
    </w:p>
    <w:p>
      <w:pPr>
        <w:pStyle w:val="FirstParagraph"/>
      </w:pPr>
      <w:r>
        <w:t xml:space="preserve">While specific land use change data for each material in the BOM was not provided, this analysis acknowledges</w:t>
      </w:r>
      <w:r>
        <w:t xml:space="preserve"> </w:t>
      </w:r>
      <w:r>
        <w:t xml:space="preserve">and aims to comply with the 2026 Land Sector and Removals (LSR) Standard. For future iterations, a more granular</w:t>
      </w:r>
      <w:r>
        <w:t xml:space="preserve"> </w:t>
      </w:r>
      <w:r>
        <w:t xml:space="preserve">assessment of land use impacts associated with raw material extraction and biomass-derived components (e.g., cardboard)</w:t>
      </w:r>
      <w:r>
        <w:t xml:space="preserve"> </w:t>
      </w:r>
      <w:r>
        <w:t xml:space="preserve">would be integrated to quantify carbon removals or emissions related to land use and land-use change.</w:t>
      </w:r>
    </w:p>
    <w:p>
      <w:r>
        <w:pict>
          <v:rect style="width:0;height:1.5pt" o:hralign="center" o:hrstd="t" o:hr="t"/>
        </w:pict>
      </w:r>
    </w:p>
    <w:bookmarkEnd w:id="42"/>
    <w:bookmarkStart w:id="43" w:name="scope-3-compliance-statement"/>
    <w:p>
      <w:pPr>
        <w:pStyle w:val="Heading2"/>
      </w:pPr>
      <w:r>
        <w:t xml:space="preserve">6. Scope 3 Compliance Statement</w:t>
      </w:r>
    </w:p>
    <w:p>
      <w:pPr>
        <w:pStyle w:val="FirstParagraph"/>
      </w:pPr>
      <w:r>
        <w:t xml:space="preserve">The comprehensive breakdown of material acquisition, manufacturing, transport, use-phase, and end-of-life impacts provides a robust foundation, aiming for at least 95% coverage for Scope 3 reporting as per 2026 requirements. While specific upstream component manufacturing emissions are integrated via emission factors in the BOM, a full cradle-to-gate analysis for every sub-component vendor would provide further granularity. This robust approach ensures comprehensive reporting as required by the 2026 GHG Protocol standards.</w:t>
      </w:r>
    </w:p>
    <w:p>
      <w:r>
        <w:pict>
          <v:rect style="width:0;height:1.5pt" o:hralign="center" o:hrstd="t" o:hr="t"/>
        </w:pict>
      </w:r>
    </w:p>
    <w:bookmarkEnd w:id="43"/>
    <w:bookmarkStart w:id="44" w:name="hotspots-and-recommendations"/>
    <w:p>
      <w:pPr>
        <w:pStyle w:val="Heading2"/>
      </w:pPr>
      <w:r>
        <w:t xml:space="preserve">7. Hotspots and Recommendations</w:t>
      </w:r>
    </w:p>
    <w:p>
      <w:pPr>
        <w:pStyle w:val="FirstParagraph"/>
      </w:pPr>
      <w:r>
        <w:t xml:space="preserve">Based on the PCF analysis, the primary emission hotspots for jjmtxomzko are: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Material Acquisition &amp; Processing:</w:t>
      </w:r>
      <w:r>
        <w:t xml:space="preserve"> </w:t>
      </w:r>
      <w:r>
        <w:t xml:space="preserve">Constituting the largest portion of the footprint, particularly due to high-impact materials like primary aluminium.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Significant due to the product\'s lifespan and continuous energy consumption, even with European electricity mixes being cleaner than China\'s.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Manufacturing &amp; Production (Scope 2):</w:t>
      </w:r>
      <w:r>
        <w:t xml:space="preserve"> </w:t>
      </w:r>
      <w:r>
        <w:t xml:space="preserve">The reliance on the Chinese electricity grid, despite renewable energy usage, still contributes notably.</w:t>
      </w:r>
    </w:p>
    <w:p>
      <w:pPr>
        <w:pStyle w:val="FirstParagraph"/>
      </w:pPr>
      <w:r>
        <w:rPr>
          <w:bCs/>
          <w:b/>
        </w:rPr>
        <w:t xml:space="preserve">Recommendations: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opportunities for incorporating recycled content (e.g., recycled aluminium, recycled plastics) in the BOM to significantly reduce upstream emissions. Engage with suppliers for lower-carbon alternatives.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Investigate design improvements to reduce the product\'s energy consumption during its lifespan. Provide users with guidance on energy-efficient usage.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Renewable Energy Procurement:</w:t>
      </w:r>
      <w:r>
        <w:t xml:space="preserve"> </w:t>
      </w:r>
      <w:r>
        <w:t xml:space="preserve">Increase renewable energy procurement at the manufacturing facility in China beyond the current 70%, potentially through Power Purchase Agreements (PPAs) or on-site generation.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Further optimize transport routes and modes, prioritizing more efficient options like rail or electric vehicles for road transport where feasible, especially for last-mile delivery.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Enhance and promote the existing "Active Take-back Program" [cite: xkhzheywjo] to maximize product and component reuse and high-quality recycling, minimizing waste and resource depletion.</w:t>
      </w:r>
    </w:p>
    <w:p>
      <w:r>
        <w:pict>
          <v:rect style="width:0;height:1.5pt" o:hralign="center" o:hrstd="t" o:hr="t"/>
        </w:pict>
      </w:r>
    </w:p>
    <w:bookmarkEnd w:id="44"/>
    <w:bookmarkStart w:id="45" w:name="disclaimer"/>
    <w:p>
      <w:pPr>
        <w:pStyle w:val="Heading2"/>
      </w:pPr>
      <w:r>
        <w:t xml:space="preserve">8. Disclaimer</w:t>
      </w:r>
    </w:p>
    <w:p>
      <w:pPr>
        <w:pStyle w:val="FirstParagraph"/>
      </w:pPr>
      <w:r>
        <w:t xml:space="preserve">This report is generated based on the provided parameters and publicly available industry-average emission factors.</w:t>
      </w:r>
      <w:r>
        <w:t xml:space="preserve"> </w:t>
      </w:r>
      <w:r>
        <w:t xml:space="preserve">While every effort has been made to ensure accuracy and adherence to the GHG Protocol,</w:t>
      </w:r>
      <w:r>
        <w:t xml:space="preserve"> </w:t>
      </w:r>
      <w:r>
        <w:t xml:space="preserve">variations may occur with primary supplier-specific data or more detailed life cycle inventory data.</w:t>
      </w:r>
      <w:r>
        <w:t xml:space="preserve"> </w:t>
      </w:r>
      <w:r>
        <w:t xml:space="preserve">This document serves as a high-level strategic overview and is not intended for regulatory compliance without further primary data validation.</w:t>
      </w:r>
    </w:p>
    <w:p>
      <w:pPr>
        <w:pStyle w:val="BodyText"/>
      </w:pPr>
      <w:r>
        <w:t xml:space="preserve">Confidential - Internal Use Only | Generated Date: 2026-05-27</w:t>
      </w:r>
    </w:p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jjmtxomzko</dc:title>
  <dc:creator/>
  <dc:description>Detailed Product Carbon Footprint (PCF) analysis for jjmtxomzko by uklwyvhmvk, following GHG Protocol standards.</dc:description>
  <dc:language>en</dc:language>
  <cp:keywords/>
  <dcterms:created xsi:type="dcterms:W3CDTF">2026-07-15T05:32:40Z</dcterms:created>
  <dcterms:modified xsi:type="dcterms:W3CDTF">2026-07-15T05:32:40Z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