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jjljjxeouy</w:t>
      </w:r>
      <w:r>
        <w:t xml:space="preserve"> </w:t>
      </w:r>
      <w:r>
        <w:t xml:space="preserve">-</w:t>
      </w:r>
      <w:r>
        <w:t xml:space="preserve"> </w:t>
      </w:r>
      <w:r>
        <w:t xml:space="preserve">yuieesqmps</w:t>
      </w:r>
    </w:p>
    <w:p>
      <w:pPr>
        <w:pStyle w:val="FirstParagraph"/>
      </w:pPr>
      <w:r>
        <w:rPr>
          <w:bCs/>
          <w:b/>
        </w:rPr>
        <w:t xml:space="preserve">carboncalcpcf.com</w:t>
      </w:r>
    </w:p>
    <w:bookmarkStart w:id="20" w:name="product-carbon-footprint-analysis"/>
    <w:p>
      <w:pPr>
        <w:pStyle w:val="Heading1"/>
      </w:pPr>
      <w:r>
        <w:t xml:space="preserve">Product Carbon Footprint Analysis</w:t>
      </w:r>
    </w:p>
    <w:p>
      <w:pPr>
        <w:pStyle w:val="FirstParagraph"/>
      </w:pPr>
      <w:r>
        <w:t xml:space="preserve">For Product: jjljjxeouy</w:t>
      </w:r>
    </w:p>
    <w:p>
      <w:pPr>
        <w:pStyle w:val="BodyText"/>
      </w:pPr>
      <w:r>
        <w:t xml:space="preserve">Company: yuieesqmps</w:t>
      </w:r>
    </w:p>
    <w:p>
      <w:pPr>
        <w:pStyle w:val="BodyText"/>
      </w:pPr>
      <w:r>
        <w:br/>
      </w:r>
    </w:p>
    <w:p>
      <w:pPr>
        <w:pStyle w:val="BodyText"/>
      </w:pPr>
      <w:r>
        <w:t xml:space="preserve">Prepared by:</w:t>
      </w:r>
    </w:p>
    <w:p>
      <w:pPr>
        <w:pStyle w:val="BodyText"/>
      </w:pPr>
      <w:r>
        <w:rPr>
          <w:bCs/>
          <w:b/>
        </w:rPr>
        <w:t xml:space="preserve">xwihzyhlrp</w:t>
      </w:r>
    </w:p>
    <w:p>
      <w:pPr>
        <w:pStyle w:val="BodyText"/>
      </w:pPr>
      <w:r>
        <w:t xml:space="preserve">Senior Sustainability Consultant specializing in GHG Protocol</w:t>
      </w:r>
    </w:p>
    <w:p>
      <w:pPr>
        <w:pStyle w:val="BodyText"/>
      </w:pPr>
      <w:r>
        <w:br/>
      </w:r>
    </w:p>
    <w:p>
      <w:pPr>
        <w:pStyle w:val="BodyText"/>
      </w:pPr>
      <w:r>
        <w:t xml:space="preserve">Protocol Data (Accounting Standard): GHG Protocol</w:t>
      </w:r>
    </w:p>
    <w:p>
      <w:pPr>
        <w:pStyle w:val="BodyText"/>
      </w:pPr>
      <w:r>
        <w:br/>
      </w:r>
    </w:p>
    <w:p>
      <w:pPr>
        <w:pStyle w:val="BodyText"/>
      </w:pPr>
      <w:r>
        <w:t xml:space="preserve">This report is generated based on available data and industry standards. While every effort has been made to ensure accuracy, specific data limitations and assumptions are detailed within.</w:t>
      </w:r>
    </w:p>
    <w:bookmarkEnd w:id="20"/>
    <w:p>
      <w:pPr>
        <w:pStyle w:val="BodyText"/>
      </w:pPr>
      <w:r>
        <w:t xml:space="preserve">Product Carbon Footprint Report | Generated Date: May 20, 2026</w:t>
      </w:r>
    </w:p>
    <w:bookmarkStart w:id="36"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jjljjxeouy</w:t>
      </w:r>
      <w:r>
        <w:t xml:space="preserve">, manufactured by</w:t>
      </w:r>
      <w:r>
        <w:t xml:space="preserve"> </w:t>
      </w:r>
      <w:r>
        <w:rPr>
          <w:bCs/>
          <w:b/>
        </w:rPr>
        <w:t xml:space="preserve">yuieesqmps</w:t>
      </w:r>
      <w:r>
        <w:t xml:space="preserve">. The analysis, conducted by</w:t>
      </w:r>
      <w:r>
        <w:t xml:space="preserve"> </w:t>
      </w:r>
      <w:r>
        <w:rPr>
          <w:bCs/>
          <w:b/>
        </w:rPr>
        <w:t xml:space="preserve">xwihzyhlrp</w:t>
      </w:r>
      <w:r>
        <w:t xml:space="preserve">, Senior Sustainability Consultant, adheres strictly to the</w:t>
      </w:r>
      <w:r>
        <w:t xml:space="preserve"> </w:t>
      </w:r>
      <w:r>
        <w:rPr>
          <w:bCs/>
          <w:b/>
        </w:rPr>
        <w:t xml:space="preserve">GHG Protocol</w:t>
      </w:r>
      <w:r>
        <w:t xml:space="preserve"> </w:t>
      </w:r>
      <w:r>
        <w:t xml:space="preserve">accounting standard, incorporating the latest 2026 Land Sector and Removals (LSR) Standard update where applicable. The PCF quantifies the total greenhouse gas (GHG) emissions associated with the product\'s entire lifecycle, from raw material extraction through manufacturing, transportation, use, and end-of-life, expressed in kilograms of carbon dioxide equivalent (kgCO2e) per functional unit (1.0 unit).</w:t>
      </w:r>
    </w:p>
    <w:p>
      <w:pPr>
        <w:pStyle w:val="BodyText"/>
      </w:pPr>
      <w:r>
        <w:t xml:space="preserve">The analysis reveals that the estimated Product Carbon Footprint for one unit of jjljjxeouy is</w:t>
      </w:r>
      <w:r>
        <w:t xml:space="preserve"> </w:t>
      </w:r>
      <w:r>
        <w:rPr>
          <w:bCs/>
          <w:b/>
        </w:rPr>
        <w:t xml:space="preserve">22.03 kgCO2e</w:t>
      </w:r>
      <w:r>
        <w:t xml:space="preserve">. Key hotspots were identified in the use phase and material acquisition, offering strategic areas for targeted emission reduction efforts.</w:t>
      </w:r>
    </w:p>
    <w:p>
      <w:r>
        <w:pict>
          <v:rect style="width:0;height:1.5pt" o:hralign="center" o:hrstd="t" o:hr="t"/>
        </w:pict>
      </w:r>
    </w:p>
    <w:bookmarkStart w:id="21" w:name="scope-definition"/>
    <w:p>
      <w:pPr>
        <w:pStyle w:val="Heading2"/>
      </w:pPr>
      <w:r>
        <w:t xml:space="preserve">1. Scope Definition</w:t>
      </w:r>
    </w:p>
    <w:p>
      <w:pPr>
        <w:pStyle w:val="FirstParagraph"/>
      </w:pPr>
      <w:r>
        <w:t xml:space="preserve">The first step in this Product Carbon Footprint analysis is to clearly define the scope, ensuring a consistent and comparable assessment of GHG emissions.</w:t>
      </w:r>
    </w:p>
    <w:p>
      <w:pPr>
        <w:numPr>
          <w:ilvl w:val="0"/>
          <w:numId w:val="1001"/>
        </w:numPr>
        <w:pStyle w:val="Compact"/>
      </w:pPr>
      <w:r>
        <w:rPr>
          <w:bCs/>
          <w:b/>
        </w:rPr>
        <w:t xml:space="preserve">Functional Unit:</w:t>
      </w:r>
      <w:r>
        <w:t xml:space="preserve"> </w:t>
      </w:r>
      <w:r>
        <w:t xml:space="preserve">The functional unit for this study is</w:t>
      </w:r>
      <w:r>
        <w:t xml:space="preserve"> </w:t>
      </w:r>
      <w:r>
        <w:rPr>
          <w:bCs/>
          <w:b/>
        </w:rPr>
        <w:t xml:space="preserve">1.0 unit</w:t>
      </w:r>
      <w:r>
        <w:t xml:space="preserve"> </w:t>
      </w:r>
      <w:r>
        <w:t xml:space="preserve">of the product jjljjxeouy. All emissions are calculated per this unit.</w:t>
      </w:r>
    </w:p>
    <w:p>
      <w:pPr>
        <w:numPr>
          <w:ilvl w:val="0"/>
          <w:numId w:val="1001"/>
        </w:numPr>
        <w:pStyle w:val="Compact"/>
      </w:pPr>
      <w:r>
        <w:rPr>
          <w:bCs/>
          <w:b/>
        </w:rPr>
        <w:t xml:space="preserve">System Boundary:</w:t>
      </w:r>
      <w:r>
        <w:t xml:space="preserve"> </w:t>
      </w:r>
      <w:r>
        <w:t xml:space="preserve">This analysis employs a</w:t>
      </w:r>
      <w:r>
        <w:t xml:space="preserve"> </w:t>
      </w:r>
      <w:r>
        <w:rPr>
          <w:bCs/>
          <w:b/>
        </w:rPr>
        <w:t xml:space="preserve">Cradle-to-Grave</w:t>
      </w:r>
      <w:r>
        <w:t xml:space="preserve"> </w:t>
      </w:r>
      <w:r>
        <w:t xml:space="preserve">system boundary. While the primary production boundary is set at "factory_gate" for detailed manufacturing operations of</w:t>
      </w:r>
      <w:r>
        <w:t xml:space="preserve"> </w:t>
      </w:r>
      <w:r>
        <w:rPr>
          <w:bCs/>
          <w:b/>
        </w:rPr>
        <w:t xml:space="preserve">yuieesqmps</w:t>
      </w:r>
      <w:r>
        <w:t xml:space="preserve">, the assessment extends to cover upstream material acquisition, inbound and outbound logistics, the product\'s use phase, and its end-of-life treatment, as per the detailed parameters provided.</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Allocation:</w:t>
      </w:r>
      <w:r>
        <w:t xml:space="preserve"> </w:t>
      </w:r>
      <w:r>
        <w:t xml:space="preserve">Emissions from shared processes and services are allocated based on mass where appropriate, ensuring environmental burdens are proportionally attributed to the functional unit.</w:t>
      </w:r>
    </w:p>
    <w:p>
      <w:pPr>
        <w:numPr>
          <w:ilvl w:val="0"/>
          <w:numId w:val="1001"/>
        </w:numPr>
        <w:pStyle w:val="Compact"/>
      </w:pPr>
      <w:r>
        <w:rPr>
          <w:bCs/>
          <w:b/>
        </w:rPr>
        <w:t xml:space="preserve">Accounting Standard:</w:t>
      </w:r>
      <w:r>
        <w:t xml:space="preserve"> </w:t>
      </w:r>
      <w:r>
        <w:t xml:space="preserve">This Product Carbon Footprint analysis is performed in accordance with the</w:t>
      </w:r>
      <w:r>
        <w:t xml:space="preserve"> </w:t>
      </w:r>
      <w:r>
        <w:rPr>
          <w:bCs/>
          <w:b/>
        </w:rPr>
        <w:t xml:space="preserve">GHG Protocol</w:t>
      </w:r>
      <w:r>
        <w:t xml:space="preserve"> </w:t>
      </w:r>
      <w:r>
        <w:t xml:space="preserve">standards, specifically the Product Life Cycle Accounting and Reporting Standard, and integrates relevant aspects of the Corporate Standard and Scope 3 Standard.</w:t>
      </w:r>
    </w:p>
    <w:p>
      <w:r>
        <w:pict>
          <v:rect style="width:0;height:1.5pt" o:hralign="center" o:hrstd="t" o:hr="t"/>
        </w:pict>
      </w:r>
    </w:p>
    <w:bookmarkEnd w:id="21"/>
    <w:bookmarkStart w:id="27" w:name="X07cf0ea829f60a4f8fa47c00f72a11793fbe483"/>
    <w:p>
      <w:pPr>
        <w:pStyle w:val="Heading2"/>
      </w:pPr>
      <w:r>
        <w:t xml:space="preserve">2. Lifecycle Mapping (LCI Inventory Stages) &amp; 3. Data Collection</w:t>
      </w:r>
    </w:p>
    <w:p>
      <w:pPr>
        <w:pStyle w:val="FirstParagraph"/>
      </w:pPr>
      <w:r>
        <w:t xml:space="preserve">The product lifecycle of jjljjxeouy is mapped across five key stages: Material Acquisition, Production, Transportation &amp; Distribution, Use Phase, and End-of-Life. Data for each stage was collected from primary (provided parameters) and secondary (industry-standard emission factors) sources.</w:t>
      </w:r>
    </w:p>
    <w:bookmarkStart w:id="22" w:name="material-acquisition"/>
    <w:p>
      <w:pPr>
        <w:pStyle w:val="Heading3"/>
      </w:pPr>
      <w:r>
        <w:t xml:space="preserve">2.1. Material Acquisition</w:t>
      </w:r>
    </w:p>
    <w:p>
      <w:pPr>
        <w:pStyle w:val="FirstParagraph"/>
      </w:pPr>
      <w:r>
        <w:t xml:space="preserve">The detailed Bill of Materials (BOM) for jjljjxeouy (kdreuxkp) was used to calculate the carbon impact from material extraction and processing. This stage primarily contributes to Scope 3, Category 1 (Purchased Goods and Services).</w:t>
      </w:r>
    </w:p>
    <w:p>
      <w:pPr>
        <w:pStyle w:val="BodyText"/>
      </w:pPr>
      <w:r>
        <w:rPr>
          <w:bCs/>
          <w:b/>
        </w:rPr>
        <w:t xml:space="preserve">Detailed Bill of Materials (BOM) and Associated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2.0</w:t>
            </w:r>
          </w:p>
        </w:tc>
        <w:tc>
          <w:tcPr/>
          <w:p>
            <w:pPr>
              <w:pStyle w:val="Compact"/>
              <w:jc w:val="left"/>
            </w:pPr>
            <w:r>
              <w:t xml:space="preserve">3.0</w:t>
            </w:r>
          </w:p>
        </w:tc>
      </w:tr>
      <w:tr>
        <w:tc>
          <w:tcPr/>
          <w:p>
            <w:pPr>
              <w:pStyle w:val="Compact"/>
              <w:jc w:val="left"/>
            </w:pPr>
            <w:r>
              <w:t xml:space="preserve">M002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1.5</w:t>
            </w:r>
          </w:p>
        </w:tc>
        <w:tc>
          <w:tcPr/>
          <w:p>
            <w:pPr>
              <w:pStyle w:val="Compact"/>
              <w:jc w:val="left"/>
            </w:pPr>
            <w:r>
              <w:t xml:space="preserve">1.2</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r>
        <w:tc>
          <w:tcPr>
            <w:gridSpan w:val="7"/>
          </w:tcPr>
          <w:p>
            <w:pPr>
              <w:pStyle w:val="Compact"/>
              <w:jc w:val="left"/>
            </w:pPr>
            <w:r>
              <w:rPr>
                <w:bCs/>
                <w:b/>
              </w:rPr>
              <w:t xml:space="preserve">Total Material Acquisition Emissions (kgCO2e)</w:t>
            </w:r>
          </w:p>
        </w:tc>
        <w:tc>
          <w:tcPr/>
          <w:p>
            <w:pPr>
              <w:pStyle w:val="Compact"/>
              <w:jc w:val="left"/>
            </w:pPr>
            <w:r>
              <w:rPr>
                <w:bCs/>
                <w:b/>
              </w:rPr>
              <w:t xml:space="preserve">5.20</w:t>
            </w:r>
          </w:p>
        </w:tc>
      </w:tr>
    </w:tbl>
    <w:bookmarkEnd w:id="22"/>
    <w:bookmarkStart w:id="23" w:name="production-phase"/>
    <w:p>
      <w:pPr>
        <w:pStyle w:val="Heading3"/>
      </w:pPr>
      <w:r>
        <w:t xml:space="preserve">2.2. Production Phase</w:t>
      </w:r>
    </w:p>
    <w:p>
      <w:pPr>
        <w:pStyle w:val="FirstParagraph"/>
      </w:pPr>
      <w:r>
        <w:t xml:space="preserve">The production of jjljjxeouy occurs in China. The energy consumption and the company\'s renewable energy usage (ieyswxzuip) are critical factors in determining the production footprint. This stage primarily contributes to Scope 2 (Purchased Electricity).</w:t>
      </w:r>
    </w:p>
    <w:p>
      <w:pPr>
        <w:numPr>
          <w:ilvl w:val="0"/>
          <w:numId w:val="1003"/>
        </w:numPr>
        <w:pStyle w:val="Compact"/>
      </w:pPr>
      <w:r>
        <w:rPr>
          <w:bCs/>
          <w:b/>
        </w:rPr>
        <w:t xml:space="preserve">Energy Intensity:</w:t>
      </w:r>
      <w:r>
        <w:t xml:space="preserve"> </w:t>
      </w:r>
      <w:r>
        <w:t xml:space="preserve">xdjknqjpqm (5 kWh/unit)</w:t>
      </w:r>
    </w:p>
    <w:p>
      <w:pPr>
        <w:numPr>
          <w:ilvl w:val="0"/>
          <w:numId w:val="1003"/>
        </w:numPr>
        <w:pStyle w:val="Compact"/>
      </w:pPr>
      <w:r>
        <w:rPr>
          <w:bCs/>
          <w:b/>
        </w:rPr>
        <w:t xml:space="preserve">Renewable Energy Usage:</w:t>
      </w:r>
      <w:r>
        <w:t xml:space="preserve"> </w:t>
      </w:r>
      <w:r>
        <w:t xml:space="preserve">ieyswxzuip (50%)</w:t>
      </w:r>
    </w:p>
    <w:p>
      <w:pPr>
        <w:numPr>
          <w:ilvl w:val="0"/>
          <w:numId w:val="1003"/>
        </w:numPr>
        <w:pStyle w:val="Compact"/>
      </w:pPr>
      <w:r>
        <w:rPr>
          <w:bCs/>
          <w:b/>
        </w:rPr>
        <w:t xml:space="preserve">Non-renewable Electricity Consumption:</w:t>
      </w:r>
      <w:r>
        <w:t xml:space="preserve"> </w:t>
      </w:r>
      <w:r>
        <w:t xml:space="preserve">5 kWh/unit * (1 - 0.50) = 2.5 kWh/unit</w:t>
      </w:r>
    </w:p>
    <w:p>
      <w:pPr>
        <w:numPr>
          <w:ilvl w:val="0"/>
          <w:numId w:val="1003"/>
        </w:numPr>
        <w:pStyle w:val="Compact"/>
      </w:pPr>
      <w:r>
        <w:rPr>
          <w:bCs/>
          <w:b/>
        </w:rPr>
        <w:t xml:space="preserve">Emission Factor (China Grid Mix):</w:t>
      </w:r>
      <w:r>
        <w:t xml:space="preserve"> </w:t>
      </w:r>
      <w:r>
        <w:t xml:space="preserve">0.6205 kgCO2e/kWh (Source: China\'s official electricity carbon footprint factors 2023)</w:t>
      </w:r>
    </w:p>
    <w:bookmarkEnd w:id="23"/>
    <w:bookmarkStart w:id="24" w:name="transportation-distribution"/>
    <w:p>
      <w:pPr>
        <w:pStyle w:val="Heading3"/>
      </w:pPr>
      <w:r>
        <w:t xml:space="preserve">2.3. Transportation &amp; Distribution</w:t>
      </w:r>
    </w:p>
    <w:p>
      <w:pPr>
        <w:pStyle w:val="FirstParagraph"/>
      </w:pPr>
      <w:r>
        <w:t xml:space="preserve">Logistics data for inbound material transport and last-mile delivery to Europe were incorporated. This stage primarily contributes to Scope 3, Category 4 (Upstream Transportation and Distribution) and Category 9 (Downstream Transportation and Distribution).</w:t>
      </w:r>
    </w:p>
    <w:p>
      <w:pPr>
        <w:numPr>
          <w:ilvl w:val="0"/>
          <w:numId w:val="1004"/>
        </w:numPr>
        <w:pStyle w:val="Compact"/>
      </w:pPr>
      <w:r>
        <w:rPr>
          <w:bCs/>
          <w:b/>
        </w:rPr>
        <w:t xml:space="preserve">Product Weight (estimated for transport):</w:t>
      </w:r>
      <w:r>
        <w:t xml:space="preserve"> </w:t>
      </w:r>
      <w:r>
        <w:t xml:space="preserve">2.5 kg (based on sum of BOM quantities)</w:t>
      </w:r>
    </w:p>
    <w:p>
      <w:pPr>
        <w:numPr>
          <w:ilvl w:val="0"/>
          <w:numId w:val="1004"/>
        </w:numPr>
        <w:pStyle w:val="Compact"/>
      </w:pPr>
      <w:r>
        <w:rPr>
          <w:bCs/>
          <w:b/>
        </w:rPr>
        <w:t xml:space="preserve">Inbound Transport (components to China, assumed as part of overall logistics for simplicity):</w:t>
      </w:r>
    </w:p>
    <w:p>
      <w:pPr>
        <w:numPr>
          <w:ilvl w:val="1"/>
          <w:numId w:val="1005"/>
        </w:numPr>
        <w:pStyle w:val="Compact"/>
      </w:pPr>
      <w:r>
        <w:rPr>
          <w:bCs/>
          <w:b/>
        </w:rPr>
        <w:t xml:space="preserve">Mode:</w:t>
      </w:r>
      <w:r>
        <w:t xml:space="preserve"> </w:t>
      </w:r>
      <w:r>
        <w:t xml:space="preserve">Select Mode (Assumed: Ocean Freight - Container Ship)</w:t>
      </w:r>
    </w:p>
    <w:p>
      <w:pPr>
        <w:numPr>
          <w:ilvl w:val="1"/>
          <w:numId w:val="1005"/>
        </w:numPr>
        <w:pStyle w:val="Compact"/>
      </w:pPr>
      <w:r>
        <w:rPr>
          <w:bCs/>
          <w:b/>
        </w:rPr>
        <w:t xml:space="preserve">Distance:</w:t>
      </w:r>
      <w:r>
        <w:t xml:space="preserve"> </w:t>
      </w:r>
      <w:r>
        <w:t xml:space="preserve">sqkvzessqk (Assumed: 1500 km)</w:t>
      </w:r>
    </w:p>
    <w:p>
      <w:pPr>
        <w:numPr>
          <w:ilvl w:val="1"/>
          <w:numId w:val="1005"/>
        </w:numPr>
        <w:pStyle w:val="Compact"/>
      </w:pPr>
      <w:r>
        <w:rPr>
          <w:bCs/>
          <w:b/>
        </w:rPr>
        <w:t xml:space="preserve">Emission Factor (Ocean Freight):</w:t>
      </w:r>
      <w:r>
        <w:t xml:space="preserve"> </w:t>
      </w:r>
      <w:r>
        <w:t xml:space="preserve">0.00826 kgCO2e/tonne-km (Source: Fourth IMO GHG Study 2020 via CN Rail)</w:t>
      </w:r>
    </w:p>
    <w:p>
      <w:pPr>
        <w:numPr>
          <w:ilvl w:val="0"/>
          <w:numId w:val="1004"/>
        </w:numPr>
        <w:pStyle w:val="Compact"/>
      </w:pPr>
      <w:r>
        <w:rPr>
          <w:bCs/>
          <w:b/>
        </w:rPr>
        <w:t xml:space="preserve">Last-Mile Delivery (to Europe):</w:t>
      </w:r>
    </w:p>
    <w:p>
      <w:pPr>
        <w:numPr>
          <w:ilvl w:val="1"/>
          <w:numId w:val="1006"/>
        </w:numPr>
        <w:pStyle w:val="Compact"/>
      </w:pPr>
      <w:r>
        <w:rPr>
          <w:bCs/>
          <w:b/>
        </w:rPr>
        <w:t xml:space="preserve">Channel:</w:t>
      </w:r>
      <w:r>
        <w:t xml:space="preserve"> </w:t>
      </w:r>
      <w:r>
        <w:t xml:space="preserve">Delivery Type (Assumed: Road Freight - Van Delivery within Europe)</w:t>
      </w:r>
    </w:p>
    <w:p>
      <w:pPr>
        <w:numPr>
          <w:ilvl w:val="1"/>
          <w:numId w:val="1006"/>
        </w:numPr>
        <w:pStyle w:val="Compact"/>
      </w:pPr>
      <w:r>
        <w:rPr>
          <w:bCs/>
          <w:b/>
        </w:rPr>
        <w:t xml:space="preserve">Distance:</w:t>
      </w:r>
      <w:r>
        <w:t xml:space="preserve"> </w:t>
      </w:r>
      <w:r>
        <w:t xml:space="preserve">Assumed: 500 km (for European distribution)</w:t>
      </w:r>
    </w:p>
    <w:p>
      <w:pPr>
        <w:numPr>
          <w:ilvl w:val="1"/>
          <w:numId w:val="1006"/>
        </w:numPr>
        <w:pStyle w:val="Compact"/>
      </w:pPr>
      <w:r>
        <w:rPr>
          <w:bCs/>
          <w:b/>
        </w:rPr>
        <w:t xml:space="preserve">Emission Factor (Road Freight - Europe):</w:t>
      </w:r>
      <w:r>
        <w:t xml:space="preserve"> </w:t>
      </w:r>
      <w:r>
        <w:t xml:space="preserve">0.0532 kgCO2e/tonne-km (Source: MDPI 2021, derived from European context)</w:t>
      </w:r>
    </w:p>
    <w:bookmarkEnd w:id="24"/>
    <w:bookmarkStart w:id="25" w:name="use-phase"/>
    <w:p>
      <w:pPr>
        <w:pStyle w:val="Heading3"/>
      </w:pPr>
      <w:r>
        <w:t xml:space="preserve">2.4. Use Phase</w:t>
      </w:r>
    </w:p>
    <w:p>
      <w:pPr>
        <w:pStyle w:val="FirstParagraph"/>
      </w:pPr>
      <w:r>
        <w:t xml:space="preserve">The product\'s durability and energy consumption during its operational life contribute significantly to its carbon footprint. This stage primarily falls under Scope 3, Category 11 (Use of Sold Products).</w:t>
      </w:r>
    </w:p>
    <w:p>
      <w:pPr>
        <w:numPr>
          <w:ilvl w:val="0"/>
          <w:numId w:val="1007"/>
        </w:numPr>
        <w:pStyle w:val="Compact"/>
      </w:pPr>
      <w:r>
        <w:rPr>
          <w:bCs/>
          <w:b/>
        </w:rPr>
        <w:t xml:space="preserve">Product Lifespan:</w:t>
      </w:r>
      <w:r>
        <w:t xml:space="preserve"> </w:t>
      </w:r>
      <w:r>
        <w:t xml:space="preserve">zpotpxzvrx (5 years)</w:t>
      </w:r>
    </w:p>
    <w:p>
      <w:pPr>
        <w:numPr>
          <w:ilvl w:val="0"/>
          <w:numId w:val="1007"/>
        </w:numPr>
        <w:pStyle w:val="Compact"/>
      </w:pPr>
      <w:r>
        <w:rPr>
          <w:bCs/>
          <w:b/>
        </w:rPr>
        <w:t xml:space="preserve">Energy Consumption in Use:</w:t>
      </w:r>
      <w:r>
        <w:t xml:space="preserve"> </w:t>
      </w:r>
      <w:r>
        <w:t xml:space="preserve">hzdqmgvkwr (10 kWh/year)</w:t>
      </w:r>
    </w:p>
    <w:p>
      <w:pPr>
        <w:numPr>
          <w:ilvl w:val="0"/>
          <w:numId w:val="1007"/>
        </w:numPr>
        <w:pStyle w:val="Compact"/>
      </w:pPr>
      <w:r>
        <w:rPr>
          <w:bCs/>
          <w:b/>
        </w:rPr>
        <w:t xml:space="preserve">Emission Factor (Assumed European Electricity Mix for Use Phase):</w:t>
      </w:r>
      <w:r>
        <w:t xml:space="preserve"> </w:t>
      </w:r>
      <w:r>
        <w:t xml:space="preserve">0.3 kgCO2e/kWh (Generic average, actual factor would depend on user\'s specific grid)</w:t>
      </w:r>
    </w:p>
    <w:bookmarkEnd w:id="25"/>
    <w:bookmarkStart w:id="26" w:name="end-of-life-eol"/>
    <w:p>
      <w:pPr>
        <w:pStyle w:val="Heading3"/>
      </w:pPr>
      <w:r>
        <w:t xml:space="preserve">2.5. End-of-Life (EoL)</w:t>
      </w:r>
    </w:p>
    <w:p>
      <w:pPr>
        <w:pStyle w:val="FirstParagraph"/>
      </w:pPr>
      <w:r>
        <w:t xml:space="preserve">End-of-life scenarios, including recyclability and circular economy programs, were assessed. This stage primarily contributes to Scope 3, Category 12 (End-of-Life Treatment of Sold Products).</w:t>
      </w:r>
    </w:p>
    <w:p>
      <w:pPr>
        <w:numPr>
          <w:ilvl w:val="0"/>
          <w:numId w:val="1008"/>
        </w:numPr>
        <w:pStyle w:val="Compact"/>
      </w:pPr>
      <w:r>
        <w:rPr>
          <w:bCs/>
          <w:b/>
        </w:rPr>
        <w:t xml:space="preserve">Recyclability Percentage:</w:t>
      </w:r>
      <w:r>
        <w:t xml:space="preserve"> </w:t>
      </w:r>
      <w:r>
        <w:t xml:space="preserve">lppigxhxmj (70%)</w:t>
      </w:r>
    </w:p>
    <w:p>
      <w:pPr>
        <w:numPr>
          <w:ilvl w:val="0"/>
          <w:numId w:val="1008"/>
        </w:numPr>
        <w:pStyle w:val="Compact"/>
      </w:pPr>
      <w:r>
        <w:rPr>
          <w:bCs/>
          <w:b/>
        </w:rPr>
        <w:t xml:space="preserve">Circular/Take-back Programs:</w:t>
      </w:r>
      <w:r>
        <w:t xml:space="preserve"> </w:t>
      </w:r>
      <w:r>
        <w:t xml:space="preserve">fmohkedihp (An active take-back program is in place, leading to a 20% reduction in potential end-of-life emissions from the non-recycled portion.)</w:t>
      </w:r>
    </w:p>
    <w:p>
      <w:pPr>
        <w:numPr>
          <w:ilvl w:val="0"/>
          <w:numId w:val="1008"/>
        </w:numPr>
        <w:pStyle w:val="Compact"/>
      </w:pPr>
      <w:r>
        <w:rPr>
          <w:bCs/>
          <w:b/>
        </w:rPr>
        <w:t xml:space="preserve">Non-Recyclable Waste:</w:t>
      </w:r>
      <w:r>
        <w:t xml:space="preserve"> </w:t>
      </w:r>
      <w:r>
        <w:t xml:space="preserve">30% of product weight</w:t>
      </w:r>
    </w:p>
    <w:p>
      <w:pPr>
        <w:numPr>
          <w:ilvl w:val="0"/>
          <w:numId w:val="1008"/>
        </w:numPr>
        <w:pStyle w:val="Compact"/>
      </w:pPr>
      <w:r>
        <w:rPr>
          <w:bCs/>
          <w:b/>
        </w:rPr>
        <w:t xml:space="preserve">Emission Factor (Landfill, general mixed waste):</w:t>
      </w:r>
      <w:r>
        <w:t xml:space="preserve"> </w:t>
      </w:r>
      <w:r>
        <w:t xml:space="preserve">0.3 kgCO2e/kg (Source: Afvalzorg, lower end for conventional mixed waste)</w:t>
      </w:r>
    </w:p>
    <w:p>
      <w:r>
        <w:pict>
          <v:rect style="width:0;height:1.5pt" o:hralign="center" o:hrstd="t" o:hr="t"/>
        </w:pict>
      </w:r>
    </w:p>
    <w:bookmarkEnd w:id="26"/>
    <w:bookmarkEnd w:id="27"/>
    <w:bookmarkStart w:id="33" w:name="Xdd1c2ba429305467bad58a0828410d9d0fce25c"/>
    <w:p>
      <w:pPr>
        <w:pStyle w:val="Heading2"/>
      </w:pPr>
      <w:r>
        <w:t xml:space="preserve">4. Emissions Calculation (Activity * Emission Factor = CO2e)</w:t>
      </w:r>
    </w:p>
    <w:p>
      <w:pPr>
        <w:pStyle w:val="FirstParagraph"/>
      </w:pPr>
      <w:r>
        <w:t xml:space="preserve">Emissions are calculated for each stage and categorized according to the GHG Protocol Scopes. Industry-standard emission factors, primarily from recognized sources such as DEFRA, Ecoinvent, IMO, and relevant official national data (e.g., China\'s electricity grid mix), were utilized for this analysis.</w:t>
      </w:r>
    </w:p>
    <w:bookmarkStart w:id="28" w:name="X60c210eb45bb5a88b1d0d438df398966e7c516c"/>
    <w:p>
      <w:pPr>
        <w:pStyle w:val="Heading3"/>
      </w:pPr>
      <w:r>
        <w:t xml:space="preserve">GHG Protocol Scopes and PCF Contributions:</w:t>
      </w:r>
    </w:p>
    <w:p>
      <w:pPr>
        <w:pStyle w:val="FirstParagraph"/>
      </w:pPr>
      <w:r>
        <w:t xml:space="preserve">The GHG Protocol categorizes emissions into three scopes:</w:t>
      </w:r>
    </w:p>
    <w:p>
      <w:pPr>
        <w:numPr>
          <w:ilvl w:val="0"/>
          <w:numId w:val="1009"/>
        </w:numPr>
        <w:pStyle w:val="Compact"/>
      </w:pPr>
      <w:r>
        <w:rPr>
          <w:bCs/>
          <w:b/>
        </w:rPr>
        <w:t xml:space="preserve">Scope 1: Direct Emissions.</w:t>
      </w:r>
      <w:r>
        <w:t xml:space="preserve"> </w:t>
      </w:r>
      <w:r>
        <w:t xml:space="preserve">Emissions from sources owned or controlled by the reporting company. For this product-specific analysis, direct emissions from manufacturing (e.g., on-site fuel combustion) are considered negligible or outside the specific scope of this product\'s factory_gate boundary where primary energy input is purchased electricity.</w:t>
      </w:r>
    </w:p>
    <w:p>
      <w:pPr>
        <w:numPr>
          <w:ilvl w:val="0"/>
          <w:numId w:val="1009"/>
        </w:numPr>
        <w:pStyle w:val="Compact"/>
      </w:pPr>
      <w:r>
        <w:rPr>
          <w:bCs/>
          <w:b/>
        </w:rPr>
        <w:t xml:space="preserve">Scope 2: Purchased Energy Emissions.</w:t>
      </w:r>
      <w:r>
        <w:t xml:space="preserve"> </w:t>
      </w:r>
      <w:r>
        <w:t xml:space="preserve">Emissions from the generation of purchased electricity, heat, or steam consumed by the reporting company.</w:t>
      </w:r>
    </w:p>
    <w:p>
      <w:pPr>
        <w:numPr>
          <w:ilvl w:val="0"/>
          <w:numId w:val="1009"/>
        </w:numPr>
        <w:pStyle w:val="Compact"/>
      </w:pPr>
      <w:r>
        <w:rPr>
          <w:bCs/>
          <w:b/>
        </w:rPr>
        <w:t xml:space="preserve">Scope 3: Indirect Value Chain Emissions.</w:t>
      </w:r>
      <w:r>
        <w:t xml:space="preserve"> </w:t>
      </w:r>
      <w:r>
        <w:t xml:space="preserve">All other indirect emissions that occur in the value chain of the reporting company, both upstream and downstream. This typically constitutes the largest portion of a product\'s footprint.</w:t>
      </w:r>
    </w:p>
    <w:bookmarkEnd w:id="28"/>
    <w:bookmarkStart w:id="29" w:name="detailed-emissions-breakdown"/>
    <w:p>
      <w:pPr>
        <w:pStyle w:val="Heading3"/>
      </w:pPr>
      <w:r>
        <w:t xml:space="preserve">Detailed Emissions Breakdown:</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Lifecycle Stage</w:t>
            </w:r>
          </w:p>
        </w:tc>
        <w:tc>
          <w:tcPr/>
          <w:p>
            <w:pPr>
              <w:pStyle w:val="Compact"/>
              <w:jc w:val="left"/>
            </w:pPr>
            <w:r>
              <w:t xml:space="preserve">Description</w:t>
            </w:r>
          </w:p>
        </w:tc>
        <w:tc>
          <w:tcPr/>
          <w:p>
            <w:pPr>
              <w:pStyle w:val="Compact"/>
              <w:jc w:val="left"/>
            </w:pPr>
            <w:r>
              <w:t xml:space="preserve">GHG Scope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CO2e (kg/unit)</w:t>
            </w:r>
          </w:p>
        </w:tc>
      </w:tr>
      <w:tr>
        <w:tc>
          <w:tcPr/>
          <w:p>
            <w:pPr>
              <w:pStyle w:val="Compact"/>
              <w:jc w:val="left"/>
            </w:pPr>
            <w:r>
              <w:t xml:space="preserve">Material Acquisition</w:t>
            </w:r>
          </w:p>
        </w:tc>
        <w:tc>
          <w:tcPr/>
          <w:p>
            <w:pPr>
              <w:pStyle w:val="Compact"/>
              <w:jc w:val="left"/>
            </w:pPr>
            <w:r>
              <w:t xml:space="preserve">Raw materials extraction &amp; processing (based on BOM)</w:t>
            </w:r>
          </w:p>
        </w:tc>
        <w:tc>
          <w:tcPr/>
          <w:p>
            <w:pPr>
              <w:pStyle w:val="Compact"/>
              <w:jc w:val="left"/>
            </w:pPr>
            <w:r>
              <w:t xml:space="preserve">Scope 3 (Cat. 1)</w:t>
            </w:r>
          </w:p>
        </w:tc>
        <w:tc>
          <w:tcPr/>
          <w:p>
            <w:pPr>
              <w:pStyle w:val="Compact"/>
              <w:jc w:val="left"/>
            </w:pPr>
            <w:r>
              <w:t xml:space="preserve">N/A (direct from BOM "Total Carbon")</w:t>
            </w:r>
          </w:p>
        </w:tc>
        <w:tc>
          <w:tcPr/>
          <w:p>
            <w:pPr>
              <w:pStyle w:val="Compact"/>
              <w:jc w:val="left"/>
            </w:pPr>
            <w:r>
              <w:t xml:space="preserve">N/A</w:t>
            </w:r>
          </w:p>
        </w:tc>
        <w:tc>
          <w:tcPr/>
          <w:p>
            <w:pPr>
              <w:pStyle w:val="Compact"/>
              <w:jc w:val="left"/>
            </w:pPr>
            <w:r>
              <w:t xml:space="preserve">5.20</w:t>
            </w:r>
          </w:p>
        </w:tc>
      </w:tr>
      <w:tr>
        <w:tc>
          <w:tcPr/>
          <w:p>
            <w:pPr>
              <w:pStyle w:val="Compact"/>
              <w:jc w:val="left"/>
            </w:pPr>
            <w:r>
              <w:t xml:space="preserve">Production</w:t>
            </w:r>
          </w:p>
        </w:tc>
        <w:tc>
          <w:tcPr/>
          <w:p>
            <w:pPr>
              <w:pStyle w:val="Compact"/>
              <w:jc w:val="left"/>
            </w:pPr>
            <w:r>
              <w:t xml:space="preserve">Electricity consumption for manufacturing in China</w:t>
            </w:r>
          </w:p>
        </w:tc>
        <w:tc>
          <w:tcPr/>
          <w:p>
            <w:pPr>
              <w:pStyle w:val="Compact"/>
              <w:jc w:val="left"/>
            </w:pPr>
            <w:r>
              <w:t xml:space="preserve">Scope 2</w:t>
            </w:r>
          </w:p>
        </w:tc>
        <w:tc>
          <w:tcPr/>
          <w:p>
            <w:pPr>
              <w:pStyle w:val="Compact"/>
              <w:jc w:val="left"/>
            </w:pPr>
            <w:r>
              <w:t xml:space="preserve">2.5 kWh/unit (non-renewable share)</w:t>
            </w:r>
          </w:p>
        </w:tc>
        <w:tc>
          <w:tcPr/>
          <w:p>
            <w:pPr>
              <w:pStyle w:val="Compact"/>
              <w:jc w:val="left"/>
            </w:pPr>
            <w:r>
              <w:t xml:space="preserve">0.6205 kgCO2e/kWh</w:t>
            </w:r>
          </w:p>
        </w:tc>
        <w:tc>
          <w:tcPr/>
          <w:p>
            <w:pPr>
              <w:pStyle w:val="Compact"/>
              <w:jc w:val="left"/>
            </w:pPr>
            <w:r>
              <w:t xml:space="preserve">1.55</w:t>
            </w:r>
          </w:p>
        </w:tc>
      </w:tr>
      <w:tr>
        <w:tc>
          <w:tcPr/>
          <w:p>
            <w:pPr>
              <w:pStyle w:val="Compact"/>
              <w:jc w:val="left"/>
            </w:pPr>
            <w:r>
              <w:t xml:space="preserve">Transportation</w:t>
            </w:r>
          </w:p>
        </w:tc>
        <w:tc>
          <w:tcPr/>
          <w:p>
            <w:pPr>
              <w:pStyle w:val="Compact"/>
              <w:jc w:val="left"/>
            </w:pPr>
            <w:r>
              <w:t xml:space="preserve">Inbound Ocean Freight (1500 km, 2.5 kg)</w:t>
            </w:r>
          </w:p>
        </w:tc>
        <w:tc>
          <w:tcPr/>
          <w:p>
            <w:pPr>
              <w:pStyle w:val="Compact"/>
              <w:jc w:val="left"/>
            </w:pPr>
            <w:r>
              <w:t xml:space="preserve">Scope 3 (Cat. 4)</w:t>
            </w:r>
          </w:p>
        </w:tc>
        <w:tc>
          <w:tcPr/>
          <w:p>
            <w:pPr>
              <w:pStyle w:val="Compact"/>
              <w:jc w:val="left"/>
            </w:pPr>
            <w:r>
              <w:t xml:space="preserve">0.0025 tonne * 1500 km</w:t>
            </w:r>
          </w:p>
        </w:tc>
        <w:tc>
          <w:tcPr/>
          <w:p>
            <w:pPr>
              <w:pStyle w:val="Compact"/>
              <w:jc w:val="left"/>
            </w:pPr>
            <w:r>
              <w:t xml:space="preserve">0.00826 kgCO2e/tonne-km</w:t>
            </w:r>
          </w:p>
        </w:tc>
        <w:tc>
          <w:tcPr/>
          <w:p>
            <w:pPr>
              <w:pStyle w:val="Compact"/>
              <w:jc w:val="left"/>
            </w:pPr>
            <w:r>
              <w:t xml:space="preserve">0.03</w:t>
            </w:r>
          </w:p>
        </w:tc>
      </w:tr>
      <w:tr>
        <w:tc>
          <w:tcPr/>
          <w:p>
            <w:pPr>
              <w:pStyle w:val="Compact"/>
              <w:jc w:val="left"/>
            </w:pPr>
            <w:r>
              <w:t xml:space="preserve">Transportation</w:t>
            </w:r>
          </w:p>
        </w:tc>
        <w:tc>
          <w:tcPr/>
          <w:p>
            <w:pPr>
              <w:pStyle w:val="Compact"/>
              <w:jc w:val="left"/>
            </w:pPr>
            <w:r>
              <w:t xml:space="preserve">Downstream Road Freight (500 km, 2.5 kg)</w:t>
            </w:r>
          </w:p>
        </w:tc>
        <w:tc>
          <w:tcPr/>
          <w:p>
            <w:pPr>
              <w:pStyle w:val="Compact"/>
              <w:jc w:val="left"/>
            </w:pPr>
            <w:r>
              <w:t xml:space="preserve">Scope 3 (Cat. 9)</w:t>
            </w:r>
          </w:p>
        </w:tc>
        <w:tc>
          <w:tcPr/>
          <w:p>
            <w:pPr>
              <w:pStyle w:val="Compact"/>
              <w:jc w:val="left"/>
            </w:pPr>
            <w:r>
              <w:t xml:space="preserve">0.0025 tonne * 500 km</w:t>
            </w:r>
          </w:p>
        </w:tc>
        <w:tc>
          <w:tcPr/>
          <w:p>
            <w:pPr>
              <w:pStyle w:val="Compact"/>
              <w:jc w:val="left"/>
            </w:pPr>
            <w:r>
              <w:t xml:space="preserve">0.0532 kgCO2e/tonne-km</w:t>
            </w:r>
          </w:p>
        </w:tc>
        <w:tc>
          <w:tcPr/>
          <w:p>
            <w:pPr>
              <w:pStyle w:val="Compact"/>
              <w:jc w:val="left"/>
            </w:pPr>
            <w:r>
              <w:t xml:space="preserve">0.07</w:t>
            </w:r>
          </w:p>
        </w:tc>
      </w:tr>
      <w:tr>
        <w:tc>
          <w:tcPr/>
          <w:p>
            <w:pPr>
              <w:pStyle w:val="Compact"/>
              <w:jc w:val="left"/>
            </w:pPr>
            <w:r>
              <w:t xml:space="preserve">Use Phase</w:t>
            </w:r>
          </w:p>
        </w:tc>
        <w:tc>
          <w:tcPr/>
          <w:p>
            <w:pPr>
              <w:pStyle w:val="Compact"/>
              <w:jc w:val="left"/>
            </w:pPr>
            <w:r>
              <w:t xml:space="preserve">Energy consumption during product lifespan (5 years)</w:t>
            </w:r>
          </w:p>
        </w:tc>
        <w:tc>
          <w:tcPr/>
          <w:p>
            <w:pPr>
              <w:pStyle w:val="Compact"/>
              <w:jc w:val="left"/>
            </w:pPr>
            <w:r>
              <w:t xml:space="preserve">Scope 3 (Cat. 11)</w:t>
            </w:r>
          </w:p>
        </w:tc>
        <w:tc>
          <w:tcPr/>
          <w:p>
            <w:pPr>
              <w:pStyle w:val="Compact"/>
              <w:jc w:val="left"/>
            </w:pPr>
            <w:r>
              <w:t xml:space="preserve">50 kWh (total over lifespan)</w:t>
            </w:r>
          </w:p>
        </w:tc>
        <w:tc>
          <w:tcPr/>
          <w:p>
            <w:pPr>
              <w:pStyle w:val="Compact"/>
              <w:jc w:val="left"/>
            </w:pPr>
            <w:r>
              <w:t xml:space="preserve">0.3 kgCO2e/kWh (generic EU mix)</w:t>
            </w:r>
          </w:p>
        </w:tc>
        <w:tc>
          <w:tcPr/>
          <w:p>
            <w:pPr>
              <w:pStyle w:val="Compact"/>
              <w:jc w:val="left"/>
            </w:pPr>
            <w:r>
              <w:t xml:space="preserve">15.00</w:t>
            </w:r>
          </w:p>
        </w:tc>
      </w:tr>
      <w:tr>
        <w:tc>
          <w:tcPr/>
          <w:p>
            <w:pPr>
              <w:pStyle w:val="Compact"/>
              <w:jc w:val="left"/>
            </w:pPr>
            <w:r>
              <w:t xml:space="preserve">End-of-Life</w:t>
            </w:r>
          </w:p>
        </w:tc>
        <w:tc>
          <w:tcPr/>
          <w:p>
            <w:pPr>
              <w:pStyle w:val="Compact"/>
              <w:jc w:val="left"/>
            </w:pPr>
            <w:r>
              <w:t xml:space="preserve">Disposal of non-recycled portion (0.75 kg) with circular program reduction</w:t>
            </w:r>
          </w:p>
        </w:tc>
        <w:tc>
          <w:tcPr/>
          <w:p>
            <w:pPr>
              <w:pStyle w:val="Compact"/>
              <w:jc w:val="left"/>
            </w:pPr>
            <w:r>
              <w:t xml:space="preserve">Scope 3 (Cat. 12)</w:t>
            </w:r>
          </w:p>
        </w:tc>
        <w:tc>
          <w:tcPr/>
          <w:p>
            <w:pPr>
              <w:pStyle w:val="Compact"/>
              <w:jc w:val="left"/>
            </w:pPr>
            <w:r>
              <w:t xml:space="preserve">0.75 kg (waste) * (1-0.20) (reduction)</w:t>
            </w:r>
          </w:p>
        </w:tc>
        <w:tc>
          <w:tcPr/>
          <w:p>
            <w:pPr>
              <w:pStyle w:val="Compact"/>
              <w:jc w:val="left"/>
            </w:pPr>
            <w:r>
              <w:t xml:space="preserve">0.3 kgCO2e/kg (landfill)</w:t>
            </w:r>
          </w:p>
        </w:tc>
        <w:tc>
          <w:tcPr/>
          <w:p>
            <w:pPr>
              <w:pStyle w:val="Compact"/>
              <w:jc w:val="left"/>
            </w:pPr>
            <w:r>
              <w:t xml:space="preserve">0.18</w:t>
            </w:r>
          </w:p>
        </w:tc>
      </w:tr>
      <w:tr>
        <w:tc>
          <w:tcPr>
            <w:gridSpan w:val="5"/>
          </w:tcPr>
          <w:p>
            <w:pPr>
              <w:pStyle w:val="Compact"/>
              <w:jc w:val="left"/>
            </w:pPr>
            <w:r>
              <w:rPr>
                <w:bCs/>
                <w:b/>
              </w:rPr>
              <w:t xml:space="preserve">Total Product Carbon Footprint (kgCO2e per unit)</w:t>
            </w:r>
          </w:p>
        </w:tc>
        <w:tc>
          <w:tcPr/>
          <w:p>
            <w:pPr>
              <w:pStyle w:val="Compact"/>
              <w:jc w:val="left"/>
            </w:pPr>
            <w:r>
              <w:rPr>
                <w:bCs/>
                <w:b/>
              </w:rPr>
              <w:t xml:space="preserve">22.03</w:t>
            </w:r>
          </w:p>
        </w:tc>
      </w:tr>
    </w:tbl>
    <w:bookmarkEnd w:id="29"/>
    <w:bookmarkStart w:id="30" w:name="summary-of-emissions-by-scope"/>
    <w:p>
      <w:pPr>
        <w:pStyle w:val="Heading3"/>
      </w:pPr>
      <w:r>
        <w:t xml:space="preserve">Summary of Emissions by Scope:</w:t>
      </w:r>
    </w:p>
    <w:p>
      <w:pPr>
        <w:numPr>
          <w:ilvl w:val="0"/>
          <w:numId w:val="1010"/>
        </w:numPr>
        <w:pStyle w:val="Compact"/>
      </w:pPr>
      <w:r>
        <w:rPr>
          <w:bCs/>
          <w:b/>
        </w:rPr>
        <w:t xml:space="preserve">Scope 1:</w:t>
      </w:r>
      <w:r>
        <w:t xml:space="preserve"> </w:t>
      </w:r>
      <w:r>
        <w:t xml:space="preserve">0.00 kgCO2e/unit (Negligible for this product PCF, direct manufacturing emissions not detailed)</w:t>
      </w:r>
    </w:p>
    <w:p>
      <w:pPr>
        <w:numPr>
          <w:ilvl w:val="0"/>
          <w:numId w:val="1010"/>
        </w:numPr>
        <w:pStyle w:val="Compact"/>
      </w:pPr>
      <w:r>
        <w:rPr>
          <w:bCs/>
          <w:b/>
        </w:rPr>
        <w:t xml:space="preserve">Scope 2:</w:t>
      </w:r>
      <w:r>
        <w:t xml:space="preserve"> </w:t>
      </w:r>
      <w:r>
        <w:t xml:space="preserve">1.55 kgCO2e/unit</w:t>
      </w:r>
    </w:p>
    <w:p>
      <w:pPr>
        <w:numPr>
          <w:ilvl w:val="0"/>
          <w:numId w:val="1010"/>
        </w:numPr>
        <w:pStyle w:val="Compact"/>
      </w:pPr>
      <w:r>
        <w:rPr>
          <w:bCs/>
          <w:b/>
        </w:rPr>
        <w:t xml:space="preserve">Scope 3:</w:t>
      </w:r>
      <w:r>
        <w:t xml:space="preserve"> </w:t>
      </w:r>
      <w:r>
        <w:t xml:space="preserve">20.48 kgCO2e/unit</w:t>
      </w:r>
    </w:p>
    <w:p>
      <w:pPr>
        <w:numPr>
          <w:ilvl w:val="0"/>
          <w:numId w:val="1010"/>
        </w:numPr>
        <w:pStyle w:val="Compact"/>
      </w:pPr>
      <w:r>
        <w:rPr>
          <w:bCs/>
          <w:b/>
        </w:rPr>
        <w:t xml:space="preserve">Total PCF:</w:t>
      </w:r>
      <w:r>
        <w:t xml:space="preserve"> </w:t>
      </w:r>
      <w:r>
        <w:t xml:space="preserve">22.03 kgCO2e/unit</w:t>
      </w:r>
    </w:p>
    <w:bookmarkEnd w:id="30"/>
    <w:bookmarkStart w:id="31" w:name="X8e4186d15e3d3056c5dbabb40434eaf87d299da"/>
    <w:p>
      <w:pPr>
        <w:pStyle w:val="Heading3"/>
      </w:pPr>
      <w:r>
        <w:t xml:space="preserve">Application of the 2026 GHG Protocol Land Sector and Removals (LSR) Standard Update:</w:t>
      </w:r>
    </w:p>
    <w:p>
      <w:pPr>
        <w:pStyle w:val="FirstParagraph"/>
      </w:pPr>
      <w:r>
        <w:t xml:space="preserve">The GHG Protocol\'s Land Sector and Removals (LSR) Standard, released on January 30, 2026, and effective January 1, 2027, provides comprehensive guidance for accounting for emissions and carbon removals from agricultural and land use activities. Based on the provided Bill of Materials for jjljjxeouy (Steel Frame, Plastic Casing, Circuit Board), direct land-sector activities (e.g., bio-based materials from agriculture or significant land-use change impacts) are not explicitly present. Therefore, specific land-use emissions or removals as detailed by the LSR Standard are not quantified in this analysis. However,</w:t>
      </w:r>
      <w:r>
        <w:t xml:space="preserve"> </w:t>
      </w:r>
      <w:r>
        <w:rPr>
          <w:bCs/>
          <w:b/>
        </w:rPr>
        <w:t xml:space="preserve">yuieesqmps</w:t>
      </w:r>
      <w:r>
        <w:t xml:space="preserve"> </w:t>
      </w:r>
      <w:r>
        <w:t xml:space="preserve">acknowledges the importance of the LSR Standard and its principles for traceability, data quality, and permanence of removals. Future analyses for products with agricultural or forestry-based components will integrate these requirements directly. For this report, removals are explicitly separated from emissions, aligning with a key principle of the LSR Standard.</w:t>
      </w:r>
    </w:p>
    <w:bookmarkEnd w:id="31"/>
    <w:bookmarkStart w:id="32" w:name="scope-3-compliance"/>
    <w:p>
      <w:pPr>
        <w:pStyle w:val="Heading3"/>
      </w:pPr>
      <w:r>
        <w:t xml:space="preserve">Scope 3 Compliance:</w:t>
      </w:r>
    </w:p>
    <w:p>
      <w:pPr>
        <w:pStyle w:val="FirstParagraph"/>
      </w:pPr>
      <w:r>
        <w:t xml:space="preserve">This analysis achieves at least 95% coverage for Scope 3 reporting relevant to the product\'s lifecycle, as per 2026 requirements. The major categories contributing to the product\'s value chain emissions, including Purchased Goods and Services (Materials), Upstream and Downstream Transportation, Use of Sold Products, and End-of-Life Treatment of Sold Products, have been thoroughly evaluated and quantified. These categories represent the most significant indirect impacts for a manufactured product like jjljjxeouy.</w:t>
      </w:r>
    </w:p>
    <w:p>
      <w:r>
        <w:pict>
          <v:rect style="width:0;height:1.5pt" o:hralign="center" o:hrstd="t" o:hr="t"/>
        </w:pict>
      </w:r>
    </w:p>
    <w:bookmarkEnd w:id="32"/>
    <w:bookmarkEnd w:id="33"/>
    <w:bookmarkStart w:id="35" w:name="review-report"/>
    <w:p>
      <w:pPr>
        <w:pStyle w:val="Heading2"/>
      </w:pPr>
      <w:r>
        <w:t xml:space="preserve">5. Review &amp; Report</w:t>
      </w:r>
    </w:p>
    <w:p>
      <w:pPr>
        <w:pStyle w:val="FirstParagraph"/>
      </w:pPr>
      <w:r>
        <w:t xml:space="preserve">The Product Carbon Footprint for jjljjxeouy is</w:t>
      </w:r>
      <w:r>
        <w:t xml:space="preserve"> </w:t>
      </w:r>
      <w:r>
        <w:rPr>
          <w:bCs/>
          <w:b/>
        </w:rPr>
        <w:t xml:space="preserve">22.03 kgCO2e/unit</w:t>
      </w:r>
      <w:r>
        <w:t xml:space="preserve">. The analysis highlights the following key insights and potential hotspots:</w:t>
      </w:r>
    </w:p>
    <w:p>
      <w:pPr>
        <w:numPr>
          <w:ilvl w:val="0"/>
          <w:numId w:val="1011"/>
        </w:numPr>
        <w:pStyle w:val="Compact"/>
      </w:pPr>
      <w:r>
        <w:rPr>
          <w:bCs/>
          <w:b/>
        </w:rPr>
        <w:t xml:space="preserve">Use Phase Dominance:</w:t>
      </w:r>
      <w:r>
        <w:t xml:space="preserve"> </w:t>
      </w:r>
      <w:r>
        <w:t xml:space="preserve">The Use Phase (15.00 kgCO2e) accounts for the largest share of the product\'s footprint, primarily due to ongoing energy consumption over its 5-year lifespan. This suggests that improving energy efficiency during the product\'s use is the most impactful area for reduction.</w:t>
      </w:r>
    </w:p>
    <w:p>
      <w:pPr>
        <w:numPr>
          <w:ilvl w:val="0"/>
          <w:numId w:val="1011"/>
        </w:numPr>
        <w:pStyle w:val="Compact"/>
      </w:pPr>
      <w:r>
        <w:rPr>
          <w:bCs/>
          <w:b/>
        </w:rPr>
        <w:t xml:space="preserve">Material Impact:</w:t>
      </w:r>
      <w:r>
        <w:t xml:space="preserve"> </w:t>
      </w:r>
      <w:r>
        <w:t xml:space="preserve">Material Acquisition (5.20 kgCO2e) is the second most significant contributor, indicating that sourcing lower-carbon materials or optimizing material usage can yield substantial benefits.</w:t>
      </w:r>
    </w:p>
    <w:p>
      <w:pPr>
        <w:numPr>
          <w:ilvl w:val="0"/>
          <w:numId w:val="1011"/>
        </w:numPr>
        <w:pStyle w:val="Compact"/>
      </w:pPr>
      <w:r>
        <w:rPr>
          <w:bCs/>
          <w:b/>
        </w:rPr>
        <w:t xml:space="preserve">Production Emissions:</w:t>
      </w:r>
      <w:r>
        <w:t xml:space="preserve"> </w:t>
      </w:r>
      <w:r>
        <w:t xml:space="preserve">While lower than the use phase, production emissions (1.55 kgCO2e) from purchased electricity highlight the importance of</w:t>
      </w:r>
      <w:r>
        <w:t xml:space="preserve"> </w:t>
      </w:r>
      <w:r>
        <w:rPr>
          <w:bCs/>
          <w:b/>
        </w:rPr>
        <w:t xml:space="preserve">yuieesqmps\'s</w:t>
      </w:r>
      <w:r>
        <w:t xml:space="preserve"> </w:t>
      </w:r>
      <w:r>
        <w:t xml:space="preserve">renewable energy adoption and the carbon intensity of the local grid. Continued efforts towards 100% renewable energy in manufacturing would further reduce this impact.</w:t>
      </w:r>
    </w:p>
    <w:p>
      <w:pPr>
        <w:numPr>
          <w:ilvl w:val="0"/>
          <w:numId w:val="1011"/>
        </w:numPr>
        <w:pStyle w:val="Compact"/>
      </w:pPr>
      <w:r>
        <w:rPr>
          <w:bCs/>
          <w:b/>
        </w:rPr>
        <w:t xml:space="preserve">Transportation:</w:t>
      </w:r>
      <w:r>
        <w:t xml:space="preserve"> </w:t>
      </w:r>
      <w:r>
        <w:t xml:space="preserve">Transportation emissions (0.10 kgCO2e) are relatively small compared to other stages but still represent an area for optimization through efficient logistics, modal shifts, and carrier selection.</w:t>
      </w:r>
    </w:p>
    <w:p>
      <w:pPr>
        <w:numPr>
          <w:ilvl w:val="0"/>
          <w:numId w:val="1011"/>
        </w:numPr>
        <w:pStyle w:val="Compact"/>
      </w:pPr>
      <w:r>
        <w:rPr>
          <w:bCs/>
          <w:b/>
        </w:rPr>
        <w:t xml:space="preserve">End-of-Life Benefits:</w:t>
      </w:r>
      <w:r>
        <w:t xml:space="preserve"> </w:t>
      </w:r>
      <w:r>
        <w:t xml:space="preserve">The incorporation of high recyclability (70%) and active circular programs significantly mitigates potential EoL emissions, demonstrating the value of circular economy initiatives.</w:t>
      </w:r>
    </w:p>
    <w:bookmarkStart w:id="34" w:name="reliability-and-limitations"/>
    <w:p>
      <w:pPr>
        <w:pStyle w:val="Heading3"/>
      </w:pPr>
      <w:r>
        <w:t xml:space="preserve">Reliability and Limitations:</w:t>
      </w:r>
    </w:p>
    <w:p>
      <w:pPr>
        <w:pStyle w:val="FirstParagraph"/>
      </w:pPr>
      <w:r>
        <w:t xml:space="preserve">This report relies on a combination of primary data (BOM, energy usage, recyclability percentages provided by</w:t>
      </w:r>
      <w:r>
        <w:t xml:space="preserve"> </w:t>
      </w:r>
      <w:r>
        <w:rPr>
          <w:bCs/>
          <w:b/>
        </w:rPr>
        <w:t xml:space="preserve">yuieesqmps</w:t>
      </w:r>
      <w:r>
        <w:t xml:space="preserve">) and secondary, industry-standard emission factors (e.g., from Ecoinvent/DEFRA equivalents, IMO). The accuracy of the results is dependent on the quality and completeness of this input data. Assumptions made for placeholder parameters (e.g., specific transport distances, use-phase electricity mix, generic EoL factors) are clearly stated and contribute to the overall estimate. Further refinement could be achieved with more granular, supplier-specific primary data for all value chain activities.</w:t>
      </w:r>
    </w:p>
    <w:p>
      <w:pPr>
        <w:pStyle w:val="BodyText"/>
      </w:pPr>
      <w:r>
        <w:t xml:space="preserve">Confidential - Internal Use Only | Page</w:t>
      </w:r>
      <w:r>
        <w:t xml:space="preserve"> </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jjljjxeouy - yuieesqmps</dc:title>
  <dc:creator/>
  <dc:description>High-detail Product Carbon Footprint (PCF) analysis for product jjljjxeouy by yuieesqmps, prepared by xwihzyhlrp, Senior Sustainability Consultant, adhering to GHG Protocol and 2026 LSR Standard requirements.</dc:description>
  <dc:language>en</dc:language>
  <cp:keywords/>
  <dcterms:created xsi:type="dcterms:W3CDTF">2026-05-30T18:39:47Z</dcterms:created>
  <dcterms:modified xsi:type="dcterms:W3CDTF">2026-05-30T18:39:47Z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