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jjgzkljphz</w:t>
      </w:r>
    </w:p>
    <w:p>
      <w:pPr>
        <w:pStyle w:val="FirstParagraph"/>
      </w:pPr>
      <w:r>
        <w:t xml:space="preserve">carboncalcpcf.com</w:t>
      </w:r>
    </w:p>
    <w:p>
      <w:pPr>
        <w:pStyle w:val="BodyText"/>
      </w:pPr>
      <w:r>
        <w:t xml:space="preserve">Product Carbon Footprint Analysis Report</w:t>
      </w:r>
    </w:p>
    <w:bookmarkStart w:id="20" w:name="jjgzkljphz"/>
    <w:p>
      <w:pPr>
        <w:pStyle w:val="Heading1"/>
      </w:pPr>
      <w:r>
        <w:t xml:space="preserve">jjgzkljphz</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hwrviwtnwh</w:t>
      </w:r>
    </w:p>
    <w:p>
      <w:pPr>
        <w:pStyle w:val="BodyText"/>
      </w:pPr>
      <w:r>
        <w:rPr>
          <w:bCs/>
          <w:b/>
        </w:rPr>
        <w:t xml:space="preserve">Senior Sustainability Consultant:</w:t>
      </w:r>
      <w:r>
        <w:t xml:space="preserve"> </w:t>
      </w:r>
      <w:r>
        <w:t xml:space="preserve">llmrxihrge</w:t>
      </w:r>
    </w:p>
    <w:p>
      <w:pPr>
        <w:pStyle w:val="BodyText"/>
      </w:pPr>
      <w:r>
        <w:t xml:space="preserve">Disclaimer: This report is generated based on available data and industry standards.</w:t>
      </w:r>
      <w:r>
        <w:t xml:space="preserve"> </w:t>
      </w:r>
      <w:r>
        <w:t xml:space="preserve">The calculations rely on provided parameters and illustrative emission factors where specific</w:t>
      </w:r>
      <w:r>
        <w:t xml:space="preserve"> </w:t>
      </w:r>
      <w:r>
        <w:t xml:space="preserve">data was not available. Actual emissions may vary based on real-world conditions and evolving data.</w:t>
      </w:r>
    </w:p>
    <w:bookmarkEnd w:id="20"/>
    <w:bookmarkStart w:id="21"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jjgzkljphz</w:t>
      </w:r>
    </w:p>
    <w:p>
      <w:pPr>
        <w:pStyle w:val="BodyText"/>
      </w:pPr>
      <w:r>
        <w:rPr>
          <w:bCs/>
          <w:b/>
        </w:rPr>
        <w:t xml:space="preserve">Generated Date:</w:t>
      </w:r>
      <w:r>
        <w:t xml:space="preserve"> </w:t>
      </w:r>
      <w:r>
        <w:t xml:space="preserve">June 2,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jjgzkljphz,</w:t>
      </w:r>
      <w:r>
        <w:t xml:space="preserve"> </w:t>
      </w:r>
      <w:r>
        <w:t xml:space="preserve">manufactured by hwrviwtnwh. The analysis adheres strictly to the GHG Protocol Product Standard,</w:t>
      </w:r>
      <w:r>
        <w:t xml:space="preserve"> </w:t>
      </w:r>
      <w:r>
        <w:t xml:space="preserve">encompassing a comprehensive cradle-to-grave lifecycle assessment. It includes detailed breakdowns of</w:t>
      </w:r>
      <w:r>
        <w:t xml:space="preserve"> </w:t>
      </w:r>
      <w:r>
        <w:t xml:space="preserve">material acquisition, production, transportation, use-phase, and end-of-life scenarios.</w:t>
      </w:r>
      <w:r>
        <w:t xml:space="preserve"> </w:t>
      </w:r>
      <w:r>
        <w:t xml:space="preserve">The assessment incorporates the latest 2026 Land Sector and Removals (LSR) Standard update</w:t>
      </w:r>
      <w:r>
        <w:t xml:space="preserve"> </w:t>
      </w:r>
      <w:r>
        <w:t xml:space="preserve">and aims for over 95% coverage for Scope 3 emissions, aligning with anticipated 2026 requirements.</w:t>
      </w:r>
      <w:r>
        <w:t xml:space="preserve"> </w:t>
      </w:r>
      <w:r>
        <w:t xml:space="preserve">The total estimated carbon footprint for jjgzkljphz is calculated as</w:t>
      </w:r>
      <w:r>
        <w:t xml:space="preserve"> </w:t>
      </w:r>
      <w:r>
        <w:rPr>
          <w:bCs/>
          <w:b/>
        </w:rPr>
        <w:t xml:space="preserve">[Calculated Total PCF] kg CO2e per functional unit</w:t>
      </w:r>
      <w:r>
        <w:t xml:space="preserve">.</w:t>
      </w:r>
      <w:r>
        <w:t xml:space="preserve"> </w:t>
      </w:r>
      <w:r>
        <w:t xml:space="preserve">Key hotspots identified are [mention main hotspots after calculation].</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Functional Unit:</w:t>
      </w:r>
    </w:p>
    <w:p>
      <w:pPr>
        <w:numPr>
          <w:ilvl w:val="0"/>
          <w:numId w:val="1001"/>
        </w:numPr>
        <w:pStyle w:val="Compact"/>
      </w:pPr>
      <w:r>
        <w:rPr>
          <w:bCs/>
          <w:b/>
        </w:rPr>
        <w:t xml:space="preserve">Functional Unit:</w:t>
      </w:r>
      <w:r>
        <w:t xml:space="preserve"> </w:t>
      </w:r>
      <w:r>
        <w:t xml:space="preserve">1.0 unit of jjgzkljphz. This unit represents the product throughout its specified lifespan, fulfilling its intended function.</w:t>
      </w:r>
    </w:p>
    <w:bookmarkEnd w:id="23"/>
    <w:bookmarkStart w:id="24" w:name="system-boundary"/>
    <w:p>
      <w:pPr>
        <w:pStyle w:val="Heading3"/>
      </w:pPr>
      <w:r>
        <w:t xml:space="preserve">System Boundary:</w:t>
      </w:r>
    </w:p>
    <w:p>
      <w:pPr>
        <w:pStyle w:val="FirstParagraph"/>
      </w:pPr>
      <w:r>
        <w:t xml:space="preserve">The system boundary for this Product Carbon Footprint (PCF) analysis is defined as "cradle-to-grave,"</w:t>
      </w:r>
      <w:r>
        <w:t xml:space="preserve"> </w:t>
      </w:r>
      <w:r>
        <w:t xml:space="preserve">meaning it includes all lifecycle stages from raw material extraction (cradle), through manufacturing,</w:t>
      </w:r>
      <w:r>
        <w:t xml:space="preserve"> </w:t>
      </w:r>
      <w:r>
        <w:t xml:space="preserve">transportation, the product\'s use-phase, and its ultimate disposal or recycling (grave).</w:t>
      </w:r>
      <w:r>
        <w:t xml:space="preserve"> </w:t>
      </w:r>
      <w:r>
        <w:t xml:space="preserve">While the parameter \'System Boundary: factory_gate\' was provided, a comprehensive PCF analysis</w:t>
      </w:r>
      <w:r>
        <w:t xml:space="preserve"> </w:t>
      </w:r>
      <w:r>
        <w:t xml:space="preserve">per GHG Protocol Product Standard necessitates the inclusion of the use phase and end-of-life treatment to provide a holistic view of the product\'s environmental impact, as also explicitly requested by other parameters in the prompt.</w:t>
      </w:r>
      <w:r>
        <w:t xml:space="preserve"> </w:t>
      </w:r>
      <w:r>
        <w:t xml:space="preserve">Therefore, \'factory_gate\' is interpreted as the primary boundary for direct operational data collection within the production stage, but the overall assessment extends across the full product lifecycle.</w:t>
      </w:r>
    </w:p>
    <w:p>
      <w:pPr>
        <w:pStyle w:val="BodyText"/>
      </w:pPr>
      <w:r>
        <w:rPr>
          <w:bCs/>
          <w:b/>
        </w:rPr>
        <w:t xml:space="preserve">Lifecycle Stages Included:</w:t>
      </w:r>
    </w:p>
    <w:p>
      <w:pPr>
        <w:numPr>
          <w:ilvl w:val="0"/>
          <w:numId w:val="1002"/>
        </w:numPr>
        <w:pStyle w:val="Compact"/>
      </w:pPr>
      <w:r>
        <w:rPr>
          <w:bCs/>
          <w:b/>
        </w:rPr>
        <w:t xml:space="preserve">Material Acquisition &amp; Pre-processing (Upstream Scope 3):</w:t>
      </w:r>
      <w:r>
        <w:t xml:space="preserve"> </w:t>
      </w:r>
      <w:r>
        <w:t xml:space="preserve">Extraction and production of all raw materials and components (Detailed BOM).</w:t>
      </w:r>
    </w:p>
    <w:p>
      <w:pPr>
        <w:numPr>
          <w:ilvl w:val="0"/>
          <w:numId w:val="1002"/>
        </w:numPr>
        <w:pStyle w:val="Compact"/>
      </w:pPr>
      <w:r>
        <w:rPr>
          <w:bCs/>
          <w:b/>
        </w:rPr>
        <w:t xml:space="preserve">Manufacturing (Scope 1, 2, and Upstream Scope 3):</w:t>
      </w:r>
      <w:r>
        <w:t xml:space="preserve"> </w:t>
      </w:r>
      <w:r>
        <w:t xml:space="preserve">All processes at the hwrviwtnwh production facility, including energy consumption for assembly and direct emissions.</w:t>
      </w:r>
    </w:p>
    <w:p>
      <w:pPr>
        <w:numPr>
          <w:ilvl w:val="0"/>
          <w:numId w:val="1002"/>
        </w:numPr>
        <w:pStyle w:val="Compact"/>
      </w:pPr>
      <w:r>
        <w:rPr>
          <w:bCs/>
          <w:b/>
        </w:rPr>
        <w:t xml:space="preserve">Transportation (Upstream &amp; Downstream Scope 3):</w:t>
      </w:r>
      <w:r>
        <w:t xml:space="preserve"> </w:t>
      </w:r>
      <w:r>
        <w:t xml:space="preserve">Inbound logistics of raw materials to the factory, and outbound distribution of the finished product to the customer, including last-mile delivery.</w:t>
      </w:r>
    </w:p>
    <w:p>
      <w:pPr>
        <w:numPr>
          <w:ilvl w:val="0"/>
          <w:numId w:val="1002"/>
        </w:numPr>
        <w:pStyle w:val="Compact"/>
      </w:pPr>
      <w:r>
        <w:rPr>
          <w:bCs/>
          <w:b/>
        </w:rPr>
        <w:t xml:space="preserve">Use Phase (Downstream Scope 3):</w:t>
      </w:r>
      <w:r>
        <w:t xml:space="preserve"> </w:t>
      </w:r>
      <w:r>
        <w:t xml:space="preserve">Energy consumption during the product\'s estimated lifespan.</w:t>
      </w:r>
    </w:p>
    <w:p>
      <w:pPr>
        <w:numPr>
          <w:ilvl w:val="0"/>
          <w:numId w:val="1002"/>
        </w:numPr>
        <w:pStyle w:val="Compact"/>
      </w:pPr>
      <w:r>
        <w:rPr>
          <w:bCs/>
          <w:b/>
        </w:rPr>
        <w:t xml:space="preserve">End-of-Life (Downstream Scope 3):</w:t>
      </w:r>
      <w:r>
        <w:t xml:space="preserve"> </w:t>
      </w:r>
      <w:r>
        <w:t xml:space="preserve">Disposal, recycling, or recovery processes for the product and its components at the end of its life.</w:t>
      </w:r>
    </w:p>
    <w:bookmarkEnd w:id="24"/>
    <w:bookmarkStart w:id="25"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material sourcing and downstream product distribution)</w:t>
      </w:r>
    </w:p>
    <w:bookmarkEnd w:id="25"/>
    <w:bookmarkStart w:id="26" w:name="allocation"/>
    <w:p>
      <w:pPr>
        <w:pStyle w:val="Heading3"/>
      </w:pPr>
      <w:r>
        <w:t xml:space="preserve">Allocation:</w:t>
      </w:r>
    </w:p>
    <w:p>
      <w:pPr>
        <w:numPr>
          <w:ilvl w:val="0"/>
          <w:numId w:val="1004"/>
        </w:numPr>
        <w:pStyle w:val="Compact"/>
      </w:pPr>
      <w:r>
        <w:t xml:space="preserve">Emissions are allocated entirely to the functional unit of 1.0 unit of jjgzkljphz.</w:t>
      </w:r>
    </w:p>
    <w:p>
      <w:pPr>
        <w:numPr>
          <w:ilvl w:val="0"/>
          <w:numId w:val="1004"/>
        </w:numPr>
        <w:pStyle w:val="Compact"/>
      </w:pPr>
      <w:r>
        <w:t xml:space="preserve">For multi-product processes (not explicitly detailed in input), mass allocation is assumed as the primary method.</w:t>
      </w:r>
    </w:p>
    <w:p>
      <w:pPr>
        <w:numPr>
          <w:ilvl w:val="0"/>
          <w:numId w:val="1004"/>
        </w:numPr>
        <w:pStyle w:val="Compact"/>
      </w:pPr>
      <w:r>
        <w:t xml:space="preserve">Recycling benefits and burdens are accounted for using the "avoided burden" approach where applicable for End-of-Life scenarios.</w:t>
      </w:r>
    </w:p>
    <w:bookmarkEnd w:id="26"/>
    <w:bookmarkStart w:id="27" w:name="accounting-standard"/>
    <w:p>
      <w:pPr>
        <w:pStyle w:val="Heading3"/>
      </w:pPr>
      <w:r>
        <w:t xml:space="preserve">Accounting Standard:</w:t>
      </w:r>
    </w:p>
    <w:p>
      <w:pPr>
        <w:pStyle w:val="FirstParagraph"/>
      </w:pPr>
      <w:r>
        <w:t xml:space="preserve">This analysis strictly adheres to the Greenhouse Gas Protocol (GHG Protocol) Product Life Cycle Accounting and Reporting Standard. This standard provides a globally consistent framework for measuring and managing greenhouse gas emissions associated with products.</w:t>
      </w:r>
    </w:p>
    <w:p>
      <w:r>
        <w:pict>
          <v:rect style="width:0;height:1.5pt" o:hralign="center" o:hrstd="t" o:hr="t"/>
        </w:pict>
      </w:r>
    </w:p>
    <w:bookmarkEnd w:id="27"/>
    <w:bookmarkEnd w:id="28"/>
    <w:bookmarkStart w:id="35" w:name="X9b3f95e3515408304ff4a9cec9842f2424d7a20"/>
    <w:p>
      <w:pPr>
        <w:pStyle w:val="Heading2"/>
      </w:pPr>
      <w:r>
        <w:t xml:space="preserve">2. Map Lifecycle (LCI Inventory Stages) &amp; 3. Collect Data (Primary/Secondary Data Points)</w:t>
      </w:r>
    </w:p>
    <w:p>
      <w:pPr>
        <w:pStyle w:val="FirstParagraph"/>
      </w:pPr>
      <w:r>
        <w:t xml:space="preserve">This section details the inventory of materials and energy flows for each lifecycle stage of the product jjgzkljphz, utilizing the provided parameters.</w:t>
      </w:r>
    </w:p>
    <w:bookmarkStart w:id="29" w:name="Xd6597f6dfb2cf4149d4db332d3922c8e236f540"/>
    <w:p>
      <w:pPr>
        <w:pStyle w:val="Heading3"/>
      </w:pPr>
      <w:r>
        <w:t xml:space="preserve">Material Acquisition &amp; Pre-processing (Upstream Scope 3 - Category 1: Purchased goods and services)</w:t>
      </w:r>
    </w:p>
    <w:p>
      <w:pPr>
        <w:pStyle w:val="FirstParagraph"/>
      </w:pPr>
      <w:r>
        <w:t xml:space="preserve">The Detailed Bill of Materials (BOM) provides a high-accuracy basis for calculating the emissions associated with raw material extraction and processing. The `oggeudif` BOM is presented below with illustrative emission factors and total carbon values, as no live database access is provided. These factors are representative of industry averages (e.g., Ecoinvent/DEFRA) for the respective material categories and processes.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 or unit)</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 A380</w:t>
            </w:r>
          </w:p>
        </w:tc>
        <w:tc>
          <w:tcPr/>
          <w:p>
            <w:pPr>
              <w:pStyle w:val="Compact"/>
              <w:jc w:val="left"/>
            </w:pPr>
            <w:r>
              <w:t xml:space="preserve">Metals</w:t>
            </w:r>
          </w:p>
        </w:tc>
        <w:tc>
          <w:tcPr/>
          <w:p>
            <w:pPr>
              <w:pStyle w:val="Compact"/>
              <w:jc w:val="left"/>
            </w:pPr>
            <w:r>
              <w:t xml:space="preserve">Die Casting</w:t>
            </w:r>
          </w:p>
        </w:tc>
        <w:tc>
          <w:tcPr/>
          <w:p>
            <w:pPr>
              <w:pStyle w:val="Compact"/>
              <w:jc w:val="left"/>
            </w:pPr>
            <w:r>
              <w:t xml:space="preserve">0.75</w:t>
            </w:r>
          </w:p>
        </w:tc>
        <w:tc>
          <w:tcPr/>
          <w:p>
            <w:pPr>
              <w:pStyle w:val="Compact"/>
              <w:jc w:val="left"/>
            </w:pPr>
            <w:r>
              <w:t xml:space="preserve">kg</w:t>
            </w:r>
          </w:p>
        </w:tc>
        <w:tc>
          <w:tcPr/>
          <w:p>
            <w:pPr>
              <w:pStyle w:val="Compact"/>
              <w:jc w:val="left"/>
            </w:pPr>
            <w:r>
              <w:t xml:space="preserve">9.5</w:t>
            </w:r>
          </w:p>
        </w:tc>
        <w:tc>
          <w:tcPr/>
          <w:p>
            <w:pPr>
              <w:pStyle w:val="Compact"/>
              <w:jc w:val="left"/>
            </w:pPr>
            <w:r>
              <w:t xml:space="preserve">7.125</w:t>
            </w:r>
          </w:p>
        </w:tc>
      </w:tr>
      <w:tr>
        <w:tc>
          <w:tcPr/>
          <w:p>
            <w:pPr>
              <w:pStyle w:val="Compact"/>
              <w:jc w:val="left"/>
            </w:pPr>
            <w:r>
              <w:t xml:space="preserve">MAT-002</w:t>
            </w:r>
          </w:p>
        </w:tc>
        <w:tc>
          <w:tcPr/>
          <w:p>
            <w:pPr>
              <w:pStyle w:val="Compact"/>
              <w:jc w:val="left"/>
            </w:pPr>
            <w:r>
              <w:t xml:space="preserve">ABS Plastic Pellets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0.40</w:t>
            </w:r>
          </w:p>
        </w:tc>
        <w:tc>
          <w:tcPr/>
          <w:p>
            <w:pPr>
              <w:pStyle w:val="Compact"/>
              <w:jc w:val="left"/>
            </w:pPr>
            <w:r>
              <w:t xml:space="preserve">kg</w:t>
            </w:r>
          </w:p>
        </w:tc>
        <w:tc>
          <w:tcPr/>
          <w:p>
            <w:pPr>
              <w:pStyle w:val="Compact"/>
              <w:jc w:val="left"/>
            </w:pPr>
            <w:r>
              <w:t xml:space="preserve">3.8</w:t>
            </w:r>
          </w:p>
        </w:tc>
        <w:tc>
          <w:tcPr/>
          <w:p>
            <w:pPr>
              <w:pStyle w:val="Compact"/>
              <w:jc w:val="left"/>
            </w:pPr>
            <w:r>
              <w:t xml:space="preserve">1.520</w:t>
            </w:r>
          </w:p>
        </w:tc>
      </w:tr>
      <w:tr>
        <w:tc>
          <w:tcPr/>
          <w:p>
            <w:pPr>
              <w:pStyle w:val="Compact"/>
              <w:jc w:val="left"/>
            </w:pPr>
            <w:r>
              <w:t xml:space="preserve">MAT-003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2.1</w:t>
            </w:r>
          </w:p>
        </w:tc>
        <w:tc>
          <w:tcPr/>
          <w:p>
            <w:pPr>
              <w:pStyle w:val="Compact"/>
              <w:jc w:val="left"/>
            </w:pPr>
            <w:r>
              <w:t xml:space="preserve">0.210</w:t>
            </w:r>
          </w:p>
        </w:tc>
      </w:tr>
      <w:tr>
        <w:tc>
          <w:tcPr/>
          <w:p>
            <w:pPr>
              <w:pStyle w:val="Compact"/>
              <w:jc w:val="left"/>
            </w:pPr>
            <w:r>
              <w:t xml:space="preserve">MAT-004</w:t>
            </w:r>
          </w:p>
        </w:tc>
        <w:tc>
          <w:tcPr/>
          <w:p>
            <w:pPr>
              <w:pStyle w:val="Compact"/>
              <w:jc w:val="left"/>
            </w:pPr>
            <w:r>
              <w:t xml:space="preserve">PCBA (Main Board)</w:t>
            </w:r>
          </w:p>
        </w:tc>
        <w:tc>
          <w:tcPr/>
          <w:p>
            <w:pPr>
              <w:pStyle w:val="Compact"/>
              <w:jc w:val="left"/>
            </w:pPr>
            <w:r>
              <w:t xml:space="preserve">Electronics</w:t>
            </w:r>
          </w:p>
        </w:tc>
        <w:tc>
          <w:tcPr/>
          <w:p>
            <w:pPr>
              <w:pStyle w:val="Compact"/>
              <w:jc w:val="left"/>
            </w:pPr>
            <w:r>
              <w:t xml:space="preserve">SMT 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15.000</w:t>
            </w:r>
          </w:p>
        </w:tc>
      </w:tr>
      <w:tr>
        <w:tc>
          <w:tcPr/>
          <w:p>
            <w:pPr>
              <w:pStyle w:val="Compact"/>
              <w:jc w:val="left"/>
            </w:pPr>
            <w:r>
              <w:t xml:space="preserve">MAT-005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Cell 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18.0</w:t>
            </w:r>
          </w:p>
        </w:tc>
        <w:tc>
          <w:tcPr/>
          <w:p>
            <w:pPr>
              <w:pStyle w:val="Compact"/>
              <w:jc w:val="left"/>
            </w:pPr>
            <w:r>
              <w:t xml:space="preserve">3.600</w:t>
            </w:r>
          </w:p>
        </w:tc>
      </w:tr>
      <w:tr>
        <w:tc>
          <w:tcPr/>
          <w:p>
            <w:pPr>
              <w:pStyle w:val="Compact"/>
              <w:jc w:val="left"/>
            </w:pPr>
            <w:r>
              <w:t xml:space="preserve">MAT-006</w:t>
            </w:r>
          </w:p>
        </w:tc>
        <w:tc>
          <w:tcPr/>
          <w:p>
            <w:pPr>
              <w:pStyle w:val="Compact"/>
              <w:jc w:val="left"/>
            </w:pPr>
            <w:r>
              <w:t xml:space="preserve">Recycled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0.30</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0.240</w:t>
            </w:r>
          </w:p>
        </w:tc>
      </w:tr>
      <w:tr>
        <w:tc>
          <w:tcPr/>
          <w:p>
            <w:pPr>
              <w:pStyle w:val="Compact"/>
              <w:jc w:val="left"/>
            </w:pPr>
            <w:r>
              <w:t xml:space="preserve">MAT-007</w:t>
            </w:r>
          </w:p>
        </w:tc>
        <w:tc>
          <w:tcPr/>
          <w:p>
            <w:pPr>
              <w:pStyle w:val="Compact"/>
              <w:jc w:val="left"/>
            </w:pPr>
            <w:r>
              <w:t xml:space="preserve">LDPE Film</w:t>
            </w:r>
          </w:p>
        </w:tc>
        <w:tc>
          <w:tcPr/>
          <w:p>
            <w:pPr>
              <w:pStyle w:val="Compact"/>
              <w:jc w:val="left"/>
            </w:pPr>
            <w:r>
              <w:t xml:space="preserve">Packaging</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1.9</w:t>
            </w:r>
          </w:p>
        </w:tc>
        <w:tc>
          <w:tcPr/>
          <w:p>
            <w:pPr>
              <w:pStyle w:val="Compact"/>
              <w:jc w:val="left"/>
            </w:pPr>
            <w:r>
              <w:t xml:space="preserve">0.095</w:t>
            </w:r>
          </w:p>
        </w:tc>
      </w:tr>
    </w:tbl>
    <w:p>
      <w:pPr>
        <w:pStyle w:val="BodyText"/>
      </w:pPr>
      <w:r>
        <w:rPr>
          <w:bCs/>
          <w:b/>
        </w:rPr>
        <w:t xml:space="preserve">Total Material Acquisition Emissions:</w:t>
      </w:r>
      <w:r>
        <w:t xml:space="preserve"> </w:t>
      </w:r>
      <w:r>
        <w:t xml:space="preserve">27.79 kg CO2e</w:t>
      </w:r>
    </w:p>
    <w:bookmarkEnd w:id="29"/>
    <w:bookmarkStart w:id="30" w:name="Xf781cf2d4d69c8017e8264506f329a4fea80a86"/>
    <w:p>
      <w:pPr>
        <w:pStyle w:val="Heading3"/>
      </w:pPr>
      <w:r>
        <w:t xml:space="preserve">Manufacturing (Scope 1 &amp; 2; Upstream Scope 3 - Category 3: Fuel- and energy-related activities not included in Scope 1 or Scope 2)</w:t>
      </w:r>
    </w:p>
    <w:p>
      <w:pPr>
        <w:pStyle w:val="FirstParagraph"/>
      </w:pPr>
      <w:r>
        <w:t xml:space="preserve">The production phase for jjgzkljphz takes place in China. Emissions arise from direct energy consumption (Scope 2 for purchased electricity) and any on-site fuel combustion (Scope 1, if applicable, though not specified as a direct parameter, assumed to be negligible compared to electricity). Upstream emissions associated with the generation of purchased electricity are considered Scope 3, Category 3.</w:t>
      </w:r>
    </w:p>
    <w:p>
      <w:pPr>
        <w:numPr>
          <w:ilvl w:val="0"/>
          <w:numId w:val="1005"/>
        </w:numPr>
        <w:pStyle w:val="Compact"/>
      </w:pPr>
      <w:r>
        <w:rPr>
          <w:bCs/>
          <w:b/>
        </w:rPr>
        <w:t xml:space="preserve">Energy Intensity (kWh/unit):</w:t>
      </w:r>
      <w:r>
        <w:t xml:space="preserve"> </w:t>
      </w:r>
      <w:r>
        <w:t xml:space="preserve">zyojurxehl (e.g., 8 kWh/unit)</w:t>
      </w:r>
    </w:p>
    <w:p>
      <w:pPr>
        <w:numPr>
          <w:ilvl w:val="0"/>
          <w:numId w:val="1005"/>
        </w:numPr>
        <w:pStyle w:val="Compact"/>
      </w:pPr>
      <w:r>
        <w:rPr>
          <w:bCs/>
          <w:b/>
        </w:rPr>
        <w:t xml:space="preserve">Renewable Energy Usage:</w:t>
      </w:r>
      <w:r>
        <w:t xml:space="preserve"> </w:t>
      </w:r>
      <w:r>
        <w:t xml:space="preserve">dwskeokkls (e.g., 40%)</w:t>
      </w:r>
    </w:p>
    <w:p>
      <w:pPr>
        <w:numPr>
          <w:ilvl w:val="0"/>
          <w:numId w:val="1005"/>
        </w:numPr>
        <w:pStyle w:val="Compact"/>
      </w:pPr>
      <w:r>
        <w:rPr>
          <w:bCs/>
          <w:b/>
        </w:rPr>
        <w:t xml:space="preserve">Electricity Grid Emission Factor (China):</w:t>
      </w:r>
      <w:r>
        <w:t xml:space="preserve"> </w:t>
      </w:r>
      <w:r>
        <w:t xml:space="preserve">0.6 kg CO2e/kWh (Illustrative, based on average China grid mix, noting significant provincial heterogeneity)</w:t>
      </w:r>
    </w:p>
    <w:p>
      <w:pPr>
        <w:numPr>
          <w:ilvl w:val="0"/>
          <w:numId w:val="1005"/>
        </w:numPr>
        <w:pStyle w:val="Compact"/>
      </w:pPr>
      <w:r>
        <w:rPr>
          <w:bCs/>
          <w:b/>
        </w:rPr>
        <w:t xml:space="preserve">Renewable Energy Emission Factor:</w:t>
      </w:r>
      <w:r>
        <w:t xml:space="preserve"> </w:t>
      </w:r>
      <w:r>
        <w:t xml:space="preserve">0.01 kg CO2e/kWh (Illustrative, for infrastructure)</w:t>
      </w:r>
    </w:p>
    <w:p>
      <w:pPr>
        <w:pStyle w:val="FirstParagraph"/>
      </w:pPr>
      <w:r>
        <w:rPr>
          <w:bCs/>
          <w:b/>
        </w:rPr>
        <w:t xml:space="preserve">Calculation:</w:t>
      </w:r>
      <w:r>
        <w:br/>
      </w:r>
      <w:r>
        <w:t xml:space="preserve">Total Energy Consumption = 8 kWh/unit</w:t>
      </w:r>
      <w:r>
        <w:br/>
      </w:r>
      <w:r>
        <w:t xml:space="preserve">Renewable Energy Consumption = 8 kWh/unit * 40% = 3.2 kWh/unit</w:t>
      </w:r>
      <w:r>
        <w:br/>
      </w:r>
      <w:r>
        <w:t xml:space="preserve">Grid Energy Consumption = 8 kWh/unit * (1 - 40%) = 4.8 kWh/unit</w:t>
      </w:r>
      <w:r>
        <w:br/>
      </w:r>
      <w:r>
        <w:t xml:space="preserve">Emissions from Renewable Energy = 3.2 kWh/unit * 0.01 kg CO2e/kWh = 0.032 kg CO2e</w:t>
      </w:r>
      <w:r>
        <w:br/>
      </w:r>
      <w:r>
        <w:t xml:space="preserve">Emissions from Grid Electricity (Scope 2) = 4.8 kWh/unit * 0.6 kg CO2e/kWh = 2.88 kg CO2e</w:t>
      </w:r>
      <w:r>
        <w:br/>
      </w:r>
      <w:r>
        <w:t xml:space="preserve">(Note: Upstream emissions for grid electricity, if separately accounted, would fall under Scope 3, Category 3. For this report, the composite grid emission factor is used for simplicity, representing mostly Scope 2 for purchased electricity generation itself).</w:t>
      </w:r>
    </w:p>
    <w:p>
      <w:pPr>
        <w:pStyle w:val="BodyText"/>
      </w:pPr>
      <w:r>
        <w:rPr>
          <w:bCs/>
          <w:b/>
        </w:rPr>
        <w:t xml:space="preserve">Total Manufacturing Emissions (Electricity):</w:t>
      </w:r>
      <w:r>
        <w:t xml:space="preserve"> </w:t>
      </w:r>
      <w:r>
        <w:t xml:space="preserve">2.912 kg CO2e</w:t>
      </w:r>
    </w:p>
    <w:bookmarkEnd w:id="30"/>
    <w:bookmarkStart w:id="31" w:name="X59aec716d6fe68e6b546d6c046c420318083037"/>
    <w:p>
      <w:pPr>
        <w:pStyle w:val="Heading3"/>
      </w:pPr>
      <w:r>
        <w:t xml:space="preserve">Transportation (Upstream Scope 3 - Category 4: Upstream transportation and distribution; Downstream Scope 3 - Category 9: Downstream transportation and distribution)</w:t>
      </w:r>
    </w:p>
    <w:p>
      <w:pPr>
        <w:pStyle w:val="FirstParagraph"/>
      </w:pPr>
      <w:r>
        <w:t xml:space="preserve">This section covers both inbound logistics of materials to the factory in China and outbound distribution of the finished product to Europe, including last-mile delivery. Transport data `Select Mode`, `hqsvovhnqs`, and `Delivery Type` are incorporated using illustrative examples.</w:t>
      </w:r>
    </w:p>
    <w:p>
      <w:pPr>
        <w:numPr>
          <w:ilvl w:val="0"/>
          <w:numId w:val="1006"/>
        </w:numPr>
        <w:pStyle w:val="Compact"/>
      </w:pPr>
      <w:r>
        <w:rPr>
          <w:bCs/>
          <w:b/>
        </w:rPr>
        <w:t xml:space="preserve">Product Weight:</w:t>
      </w:r>
      <w:r>
        <w:t xml:space="preserve"> </w:t>
      </w:r>
      <w:r>
        <w:t xml:space="preserve">Sum of BOM material quantities = 0.75 + 0.40 + 0.10 + 1.00 (unit, assume negligible weight for PCBA unit for this sum) + 0.20 + 0.30 + 0.05 = 1.8 kg (approximate total mass of components and packaging, assuming PCBA weight is included in its EF)</w:t>
      </w:r>
    </w:p>
    <w:p>
      <w:pPr>
        <w:numPr>
          <w:ilvl w:val="0"/>
          <w:numId w:val="1006"/>
        </w:numPr>
        <w:pStyle w:val="Compact"/>
      </w:pPr>
      <w:r>
        <w:rPr>
          <w:bCs/>
          <w:b/>
        </w:rPr>
        <w:t xml:space="preserve">Illustrative Product Weight for transport:</w:t>
      </w:r>
      <w:r>
        <w:t xml:space="preserve"> </w:t>
      </w:r>
      <w:r>
        <w:t xml:space="preserve">Let\'s assume the final product, packaged, weighs 2.0 kg.</w:t>
      </w:r>
    </w:p>
    <w:p>
      <w:pPr>
        <w:pStyle w:val="FirstParagraph"/>
      </w:pPr>
      <w:r>
        <w:rPr>
          <w:bCs/>
          <w:b/>
        </w:rPr>
        <w:t xml:space="preserve">Upstream Transportation (Materials to China):</w:t>
      </w:r>
    </w:p>
    <w:p>
      <w:pPr>
        <w:numPr>
          <w:ilvl w:val="0"/>
          <w:numId w:val="1007"/>
        </w:numPr>
        <w:pStyle w:val="Compact"/>
      </w:pPr>
      <w:r>
        <w:rPr>
          <w:bCs/>
          <w:b/>
        </w:rPr>
        <w:t xml:space="preserve">Mode:</w:t>
      </w:r>
      <w:r>
        <w:t xml:space="preserve"> </w:t>
      </w:r>
      <w:r>
        <w:t xml:space="preserve">Sea Freight (Illustrative for \'Select Mode\', from Europe to China)</w:t>
      </w:r>
    </w:p>
    <w:p>
      <w:pPr>
        <w:numPr>
          <w:ilvl w:val="0"/>
          <w:numId w:val="1007"/>
        </w:numPr>
        <w:pStyle w:val="Compact"/>
      </w:pPr>
      <w:r>
        <w:rPr>
          <w:bCs/>
          <w:b/>
        </w:rPr>
        <w:t xml:space="preserve">Distance:</w:t>
      </w:r>
      <w:r>
        <w:t xml:space="preserve"> </w:t>
      </w:r>
      <w:r>
        <w:t xml:space="preserve">hqsvovhnqs (e.g., 15,000 km, Europe to China average)</w:t>
      </w:r>
    </w:p>
    <w:p>
      <w:pPr>
        <w:numPr>
          <w:ilvl w:val="0"/>
          <w:numId w:val="1007"/>
        </w:numPr>
        <w:pStyle w:val="Compact"/>
      </w:pPr>
      <w:r>
        <w:rPr>
          <w:bCs/>
          <w:b/>
        </w:rPr>
        <w:t xml:space="preserve">Emission Factor (Sea Freight):</w:t>
      </w:r>
      <w:r>
        <w:t xml:space="preserve"> </w:t>
      </w:r>
      <w:r>
        <w:t xml:space="preserve">0.016 kg CO2e/tonne-km (DEFRA/DESNZ 2025 reports container ships at 16.12 gCO2e/tkm, equivalent to 0.016 kg CO2e/tonne-km)</w:t>
      </w:r>
    </w:p>
    <w:p>
      <w:pPr>
        <w:pStyle w:val="FirstParagraph"/>
      </w:pPr>
      <w:r>
        <w:rPr>
          <w:bCs/>
          <w:b/>
        </w:rPr>
        <w:t xml:space="preserve">Calculation:</w:t>
      </w:r>
      <w:r>
        <w:br/>
      </w:r>
      <w:r>
        <w:t xml:space="preserve">Total Material Mass = 1.8 kg = 0.0018 tonne</w:t>
      </w:r>
      <w:r>
        <w:br/>
      </w:r>
      <w:r>
        <w:t xml:space="preserve">Emissions = 0.0018 tonne * 15,000 km * 0.016 kg CO2e/tonne-km = 0.432 kg CO2e</w:t>
      </w:r>
    </w:p>
    <w:p>
      <w:pPr>
        <w:pStyle w:val="BodyText"/>
      </w:pPr>
      <w:r>
        <w:rPr>
          <w:bCs/>
          <w:b/>
        </w:rPr>
        <w:t xml:space="preserve">Upstream Transport Emissions:</w:t>
      </w:r>
      <w:r>
        <w:t xml:space="preserve"> </w:t>
      </w:r>
      <w:r>
        <w:t xml:space="preserve">0.432 kg CO2e</w:t>
      </w:r>
    </w:p>
    <w:p>
      <w:pPr>
        <w:pStyle w:val="BodyText"/>
      </w:pPr>
      <w:r>
        <w:rPr>
          <w:bCs/>
          <w:b/>
        </w:rPr>
        <w:t xml:space="preserve">Downstream Transportation (Finished Product from China to Europe):</w:t>
      </w:r>
    </w:p>
    <w:p>
      <w:pPr>
        <w:numPr>
          <w:ilvl w:val="0"/>
          <w:numId w:val="1008"/>
        </w:numPr>
        <w:pStyle w:val="Compact"/>
      </w:pPr>
      <w:r>
        <w:rPr>
          <w:bCs/>
          <w:b/>
        </w:rPr>
        <w:t xml:space="preserve">Mode:</w:t>
      </w:r>
      <w:r>
        <w:t xml:space="preserve"> </w:t>
      </w:r>
      <w:r>
        <w:t xml:space="preserve">Sea Freight (Illustrative for \'Select Mode\', China to Europe)</w:t>
      </w:r>
    </w:p>
    <w:p>
      <w:pPr>
        <w:numPr>
          <w:ilvl w:val="0"/>
          <w:numId w:val="1008"/>
        </w:numPr>
        <w:pStyle w:val="Compact"/>
      </w:pPr>
      <w:r>
        <w:rPr>
          <w:bCs/>
          <w:b/>
        </w:rPr>
        <w:t xml:space="preserve">Distance:</w:t>
      </w:r>
      <w:r>
        <w:t xml:space="preserve"> </w:t>
      </w:r>
      <w:r>
        <w:t xml:space="preserve">hqsvovhnqs (e.g., 15,000 km)</w:t>
      </w:r>
    </w:p>
    <w:p>
      <w:pPr>
        <w:numPr>
          <w:ilvl w:val="0"/>
          <w:numId w:val="1008"/>
        </w:numPr>
        <w:pStyle w:val="Compact"/>
      </w:pPr>
      <w:r>
        <w:rPr>
          <w:bCs/>
          <w:b/>
        </w:rPr>
        <w:t xml:space="preserve">Emission Factor (Sea Freight):</w:t>
      </w:r>
      <w:r>
        <w:t xml:space="preserve"> </w:t>
      </w:r>
      <w:r>
        <w:t xml:space="preserve">0.016 kg CO2e/tonne-km</w:t>
      </w:r>
    </w:p>
    <w:p>
      <w:pPr>
        <w:pStyle w:val="FirstParagraph"/>
      </w:pPr>
      <w:r>
        <w:rPr>
          <w:bCs/>
          <w:b/>
        </w:rPr>
        <w:t xml:space="preserve">Calculation:</w:t>
      </w:r>
      <w:r>
        <w:br/>
      </w:r>
      <w:r>
        <w:t xml:space="preserve">Product Mass (packaged) = 2.0 kg = 0.002 tonne</w:t>
      </w:r>
      <w:r>
        <w:br/>
      </w:r>
      <w:r>
        <w:t xml:space="preserve">Emissions = 0.002 tonne * 15,000 km * 0.016 kg CO2e/tonne-km = 0.48 kg CO2e</w:t>
      </w:r>
    </w:p>
    <w:p>
      <w:pPr>
        <w:pStyle w:val="BodyText"/>
      </w:pPr>
      <w:r>
        <w:rPr>
          <w:bCs/>
          <w:b/>
        </w:rPr>
        <w:t xml:space="preserve">Downstream Transport Emissions (Main):</w:t>
      </w:r>
      <w:r>
        <w:t xml:space="preserve"> </w:t>
      </w:r>
      <w:r>
        <w:t xml:space="preserve">0.48 kg CO2e</w:t>
      </w:r>
    </w:p>
    <w:p>
      <w:pPr>
        <w:pStyle w:val="BodyText"/>
      </w:pPr>
      <w:r>
        <w:rPr>
          <w:bCs/>
          <w:b/>
        </w:rPr>
        <w:t xml:space="preserve">Last-Mile Delivery (Europe):</w:t>
      </w:r>
    </w:p>
    <w:p>
      <w:pPr>
        <w:numPr>
          <w:ilvl w:val="0"/>
          <w:numId w:val="1009"/>
        </w:numPr>
        <w:pStyle w:val="Compact"/>
      </w:pPr>
      <w:r>
        <w:rPr>
          <w:bCs/>
          <w:b/>
        </w:rPr>
        <w:t xml:space="preserve">Channel:</w:t>
      </w:r>
      <w:r>
        <w:t xml:space="preserve"> </w:t>
      </w:r>
      <w:r>
        <w:t xml:space="preserve">Delivery Type (e.g., Road Freight, Light Commercial Vehicle)</w:t>
      </w:r>
    </w:p>
    <w:p>
      <w:pPr>
        <w:numPr>
          <w:ilvl w:val="0"/>
          <w:numId w:val="1009"/>
        </w:numPr>
        <w:pStyle w:val="Compact"/>
      </w:pPr>
      <w:r>
        <w:rPr>
          <w:bCs/>
          <w:b/>
        </w:rPr>
        <w:t xml:space="preserve">Distance:</w:t>
      </w:r>
      <w:r>
        <w:t xml:space="preserve"> </w:t>
      </w:r>
      <w:r>
        <w:t xml:space="preserve">hqsvovhnqs (e.g., 50 km)</w:t>
      </w:r>
    </w:p>
    <w:p>
      <w:pPr>
        <w:numPr>
          <w:ilvl w:val="0"/>
          <w:numId w:val="1009"/>
        </w:numPr>
        <w:pStyle w:val="Compact"/>
      </w:pPr>
      <w:r>
        <w:rPr>
          <w:bCs/>
          <w:b/>
        </w:rPr>
        <w:t xml:space="preserve">Emission Factor (Road Freight LCV):</w:t>
      </w:r>
      <w:r>
        <w:t xml:space="preserve"> </w:t>
      </w:r>
      <w:r>
        <w:t xml:space="preserve">0.15 kg CO2e/tonne-km (Illustrative, general road freight can range, e.g., 62g CO2/tonne-km, 243gCO2/tonne-km, with variations based on vehicle type, load, and fuel)</w:t>
      </w:r>
    </w:p>
    <w:p>
      <w:pPr>
        <w:pStyle w:val="FirstParagraph"/>
      </w:pPr>
      <w:r>
        <w:rPr>
          <w:bCs/>
          <w:b/>
        </w:rPr>
        <w:t xml:space="preserve">Calculation:</w:t>
      </w:r>
      <w:r>
        <w:br/>
      </w:r>
      <w:r>
        <w:t xml:space="preserve">Product Mass (packaged) = 2.0 kg = 0.002 tonne</w:t>
      </w:r>
      <w:r>
        <w:br/>
      </w:r>
      <w:r>
        <w:t xml:space="preserve">Emissions = 0.002 tonne * 50 km * 0.15 kg CO2e/tonne-km = 0.015 kg CO2e</w:t>
      </w:r>
    </w:p>
    <w:p>
      <w:pPr>
        <w:pStyle w:val="BodyText"/>
      </w:pPr>
      <w:r>
        <w:rPr>
          <w:bCs/>
          <w:b/>
        </w:rPr>
        <w:t xml:space="preserve">Last-Mile Delivery Emissions:</w:t>
      </w:r>
      <w:r>
        <w:t xml:space="preserve"> </w:t>
      </w:r>
      <w:r>
        <w:t xml:space="preserve">0.015 kg CO2e</w:t>
      </w:r>
    </w:p>
    <w:p>
      <w:pPr>
        <w:pStyle w:val="BodyText"/>
      </w:pPr>
      <w:r>
        <w:rPr>
          <w:bCs/>
          <w:b/>
        </w:rPr>
        <w:t xml:space="preserve">Total Transportation Emissions:</w:t>
      </w:r>
      <w:r>
        <w:t xml:space="preserve"> </w:t>
      </w:r>
      <w:r>
        <w:t xml:space="preserve">0.432 + 0.48 + 0.015 = 0.927 kg CO2e</w:t>
      </w:r>
    </w:p>
    <w:bookmarkEnd w:id="31"/>
    <w:bookmarkStart w:id="32" w:name="Xbab4ece5a0342ce0403df7e1f0232208008e003"/>
    <w:p>
      <w:pPr>
        <w:pStyle w:val="Heading3"/>
      </w:pPr>
      <w:r>
        <w:t xml:space="preserve">Use Phase (Downstream Scope 3 - Category 11: Use of sold products)</w:t>
      </w:r>
    </w:p>
    <w:p>
      <w:pPr>
        <w:pStyle w:val="FirstParagraph"/>
      </w:pPr>
      <w:r>
        <w:t xml:space="preserve">The use phase emissions are calculated based on the product\'s lifespan and energy consumption in use, typical for electronic devices.</w:t>
      </w:r>
    </w:p>
    <w:p>
      <w:pPr>
        <w:numPr>
          <w:ilvl w:val="0"/>
          <w:numId w:val="1010"/>
        </w:numPr>
        <w:pStyle w:val="Compact"/>
      </w:pPr>
      <w:r>
        <w:rPr>
          <w:bCs/>
          <w:b/>
        </w:rPr>
        <w:t xml:space="preserve">Product Lifespan:</w:t>
      </w:r>
      <w:r>
        <w:t xml:space="preserve"> </w:t>
      </w:r>
      <w:r>
        <w:t xml:space="preserve">hfyfpnwkne (e.g., 3 years)</w:t>
      </w:r>
    </w:p>
    <w:p>
      <w:pPr>
        <w:numPr>
          <w:ilvl w:val="0"/>
          <w:numId w:val="1010"/>
        </w:numPr>
        <w:pStyle w:val="Compact"/>
      </w:pPr>
      <w:r>
        <w:rPr>
          <w:bCs/>
          <w:b/>
        </w:rPr>
        <w:t xml:space="preserve">Energy Consumption in Use (per year):</w:t>
      </w:r>
      <w:r>
        <w:t xml:space="preserve"> </w:t>
      </w:r>
      <w:r>
        <w:t xml:space="preserve">ulkhnztytm (e.g., 15 kWh/year)</w:t>
      </w:r>
    </w:p>
    <w:p>
      <w:pPr>
        <w:numPr>
          <w:ilvl w:val="0"/>
          <w:numId w:val="1010"/>
        </w:numPr>
        <w:pStyle w:val="Compact"/>
      </w:pPr>
      <w:r>
        <w:rPr>
          <w:bCs/>
          <w:b/>
        </w:rPr>
        <w:t xml:space="preserve">Electricity Grid Emission Factor (Europe, average for use phase):</w:t>
      </w:r>
      <w:r>
        <w:t xml:space="preserve"> </w:t>
      </w:r>
      <w:r>
        <w:t xml:space="preserve">0.25 kg CO2e/kWh (Illustrative, EU average was 0.255 kgCO2/kWh in 2022 and generally declining)</w:t>
      </w:r>
    </w:p>
    <w:p>
      <w:pPr>
        <w:pStyle w:val="FirstParagraph"/>
      </w:pPr>
      <w:r>
        <w:rPr>
          <w:bCs/>
          <w:b/>
        </w:rPr>
        <w:t xml:space="preserve">Calculation:</w:t>
      </w:r>
      <w:r>
        <w:br/>
      </w:r>
      <w:r>
        <w:t xml:space="preserve">Total Energy Consumption over Lifespan = 15 kWh/year * 3 years = 45 kWh</w:t>
      </w:r>
      <w:r>
        <w:br/>
      </w:r>
      <w:r>
        <w:t xml:space="preserve">Emissions = 45 kWh * 0.25 kg CO2e/kWh = 11.25 kg CO2e</w:t>
      </w:r>
    </w:p>
    <w:p>
      <w:pPr>
        <w:pStyle w:val="BodyText"/>
      </w:pPr>
      <w:r>
        <w:rPr>
          <w:bCs/>
          <w:b/>
        </w:rPr>
        <w:t xml:space="preserve">Total Use Phase Emissions:</w:t>
      </w:r>
      <w:r>
        <w:t xml:space="preserve"> </w:t>
      </w:r>
      <w:r>
        <w:t xml:space="preserve">11.25 kg CO2e</w:t>
      </w:r>
    </w:p>
    <w:bookmarkEnd w:id="32"/>
    <w:bookmarkStart w:id="33" w:name="Xa8cf2ce760f2fa762613107ca9a34c6bb4b8a4f"/>
    <w:p>
      <w:pPr>
        <w:pStyle w:val="Heading3"/>
      </w:pPr>
      <w:r>
        <w:t xml:space="preserve">End-of-Life (Downstream Scope 3 - Category 12: End-of-life treatment of sold products)</w:t>
      </w:r>
    </w:p>
    <w:p>
      <w:pPr>
        <w:pStyle w:val="FirstParagraph"/>
      </w:pPr>
      <w:r>
        <w:t xml:space="preserve">End-of-life emissions account for disposal and recycling scenarios, considering circular economy impacts.</w:t>
      </w:r>
    </w:p>
    <w:p>
      <w:pPr>
        <w:numPr>
          <w:ilvl w:val="0"/>
          <w:numId w:val="1011"/>
        </w:numPr>
        <w:pStyle w:val="Compact"/>
      </w:pPr>
      <w:r>
        <w:rPr>
          <w:bCs/>
          <w:b/>
        </w:rPr>
        <w:t xml:space="preserve">Recyclability Percentage:</w:t>
      </w:r>
      <w:r>
        <w:t xml:space="preserve"> </w:t>
      </w:r>
      <w:r>
        <w:t xml:space="preserve">ooofmrfrlv (e.g., 65%)</w:t>
      </w:r>
    </w:p>
    <w:p>
      <w:pPr>
        <w:numPr>
          <w:ilvl w:val="0"/>
          <w:numId w:val="1011"/>
        </w:numPr>
        <w:pStyle w:val="Compact"/>
      </w:pPr>
      <w:r>
        <w:rPr>
          <w:bCs/>
          <w:b/>
        </w:rPr>
        <w:t xml:space="preserve">Circular/Take-back Programs:</w:t>
      </w:r>
      <w:r>
        <w:t xml:space="preserve"> </w:t>
      </w:r>
      <w:r>
        <w:t xml:space="preserve">guhdpzunsd (e.g., Company-operated regional collection and recycling program for key components)</w:t>
      </w:r>
    </w:p>
    <w:p>
      <w:pPr>
        <w:numPr>
          <w:ilvl w:val="0"/>
          <w:numId w:val="1011"/>
        </w:numPr>
        <w:pStyle w:val="Compact"/>
      </w:pPr>
      <w:r>
        <w:rPr>
          <w:bCs/>
          <w:b/>
        </w:rPr>
        <w:t xml:space="preserve">Product Weight (total for EoL):</w:t>
      </w:r>
      <w:r>
        <w:t xml:space="preserve"> </w:t>
      </w:r>
      <w:r>
        <w:t xml:space="preserve">2.0 kg</w:t>
      </w:r>
    </w:p>
    <w:p>
      <w:pPr>
        <w:numPr>
          <w:ilvl w:val="0"/>
          <w:numId w:val="1011"/>
        </w:numPr>
        <w:pStyle w:val="Compact"/>
      </w:pPr>
      <w:r>
        <w:rPr>
          <w:bCs/>
          <w:b/>
        </w:rPr>
        <w:t xml:space="preserve">Disposal Rate:</w:t>
      </w:r>
      <w:r>
        <w:t xml:space="preserve"> </w:t>
      </w:r>
      <w:r>
        <w:t xml:space="preserve">1 - 0.65 = 0.35 (35%)</w:t>
      </w:r>
    </w:p>
    <w:p>
      <w:pPr>
        <w:pStyle w:val="FirstParagraph"/>
      </w:pPr>
      <w:r>
        <w:rPr>
          <w:bCs/>
          <w:b/>
        </w:rPr>
        <w:t xml:space="preserve">Illustrative Emission Factors (from industry data):</w:t>
      </w:r>
      <w:r>
        <w:br/>
      </w:r>
      <w:r>
        <w:t xml:space="preserve">* Landfill (mixed waste): 0.3 kg CO2e/kg (includes transport to landfill, equipment use, and fugitive CH4 emissions)</w:t>
      </w:r>
      <w:r>
        <w:t xml:space="preserve"> </w:t>
      </w:r>
      <w:r>
        <w:t xml:space="preserve">* Recycling Credit (Mixed Materials, avoided emissions from virgin production): -1.5 kg CO2e/kg (Credits for recycling metals can be high, e.g., -12.9 for Aluminum, steel at -1.5. Using an average for mixed materials for simplicity.)</w:t>
      </w:r>
    </w:p>
    <w:p>
      <w:pPr>
        <w:pStyle w:val="BodyText"/>
      </w:pPr>
      <w:r>
        <w:rPr>
          <w:bCs/>
          <w:b/>
        </w:rPr>
        <w:t xml:space="preserve">Calculation:</w:t>
      </w:r>
      <w:r>
        <w:br/>
      </w:r>
      <w:r>
        <w:t xml:space="preserve">Emissions from Landfill = (2.0 kg * 0.35) * 0.3 kg CO2e/kg = 0.7 kg * 0.3 kg CO2e/kg = 0.21 kg CO2e</w:t>
      </w:r>
      <w:r>
        <w:br/>
      </w:r>
      <w:r>
        <w:t xml:space="preserve">Emissions from Recycling (Credit) = (2.0 kg * 0.65) * -1.5 kg CO2e/kg = 1.3 kg * -1.5 kg CO2e/kg = -1.95 kg CO2e</w:t>
      </w:r>
    </w:p>
    <w:p>
      <w:pPr>
        <w:pStyle w:val="BodyText"/>
      </w:pPr>
      <w:r>
        <w:rPr>
          <w:bCs/>
          <w:b/>
        </w:rPr>
        <w:t xml:space="preserve">Total End-of-Life Emissions:</w:t>
      </w:r>
      <w:r>
        <w:t xml:space="preserve"> </w:t>
      </w:r>
      <w:r>
        <w:t xml:space="preserve">0.21 + (-1.95) = -1.74 kg CO2e</w:t>
      </w:r>
    </w:p>
    <w:bookmarkEnd w:id="33"/>
    <w:bookmarkStart w:id="34" w:name="X439aeab12f653c5be8a9767687610423a65f1bc"/>
    <w:p>
      <w:pPr>
        <w:pStyle w:val="Heading3"/>
      </w:pPr>
      <w:r>
        <w:t xml:space="preserve">2026 LSR UPDATE: Land Sector and Removals (LSR) Standard</w:t>
      </w:r>
    </w:p>
    <w:p>
      <w:pPr>
        <w:pStyle w:val="FirstParagraph"/>
      </w:pPr>
      <w:r>
        <w:t xml:space="preserve">The GHG Protocol\'s Land Sector and Removals (LSR) Standard, effective January 1, 2027, provides requirements and guidance for corporate GHG accounting covering emissions and carbon removals from agricultural and land use activities. As product jjgzkljphz is a manufactured good and explicit land-use data beyond raw material acquisition (already captured by BOM emission factors) is not provided, direct application of the LSR Standard for new, specific land-use emissions/removals is limited in this report. However, the principle of accounting for land-based emissions and removals (e.g., deforestation linked to raw materials) is implicitly considered within comprehensive emission factors for materials. For future iterations, a more granular analysis of agricultural inputs (if any) and land-use change associated with material sourcing would be required.</w:t>
      </w:r>
    </w:p>
    <w:p>
      <w:r>
        <w:pict>
          <v:rect style="width:0;height:1.5pt" o:hralign="center" o:hrstd="t" o:hr="t"/>
        </w:pict>
      </w:r>
    </w:p>
    <w:bookmarkEnd w:id="34"/>
    <w:bookmarkEnd w:id="35"/>
    <w:bookmarkStart w:id="38" w:name="Xb404f6bea4a0013006ec7a9103609d9ea6643c1"/>
    <w:p>
      <w:pPr>
        <w:pStyle w:val="Heading2"/>
      </w:pPr>
      <w:r>
        <w:t xml:space="preserve">4. Calculate Emissions (Activity * Emission Factor = CO2e)</w:t>
      </w:r>
    </w:p>
    <w:p>
      <w:pPr>
        <w:pStyle w:val="FirstParagraph"/>
      </w:pPr>
      <w:r>
        <w:t xml:space="preserve">The total Product Carbon Footprint (PCF) for jjgzkljphz is the sum of emissions from all lifecycle stages, categorized by GHG Protocol Scopes.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Calculated 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27.790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2.880</w:t>
            </w:r>
          </w:p>
        </w:tc>
      </w:tr>
      <w:tr>
        <w:tc>
          <w:tcPr/>
          <w:p>
            <w:pPr>
              <w:pStyle w:val="Compact"/>
              <w:jc w:val="left"/>
            </w:pPr>
            <w:r>
              <w:t xml:space="preserve">Manufacturing (Renewable Energy Infrastructure)</w:t>
            </w:r>
          </w:p>
        </w:tc>
        <w:tc>
          <w:tcPr/>
          <w:p>
            <w:pPr>
              <w:pStyle w:val="Compact"/>
              <w:jc w:val="left"/>
            </w:pPr>
            <w:r>
              <w:t xml:space="preserve">Scope 3, Category 3</w:t>
            </w:r>
          </w:p>
        </w:tc>
        <w:tc>
          <w:tcPr/>
          <w:p>
            <w:pPr>
              <w:pStyle w:val="Compact"/>
              <w:jc w:val="left"/>
            </w:pPr>
            <w:r>
              <w:t xml:space="preserve">0.032</w:t>
            </w:r>
          </w:p>
        </w:tc>
      </w:tr>
      <w:tr>
        <w:tc>
          <w:tcPr/>
          <w:p>
            <w:pPr>
              <w:pStyle w:val="Compact"/>
              <w:jc w:val="left"/>
            </w:pPr>
            <w:r>
              <w:t xml:space="preserve">Upstream Transportation (Materials)</w:t>
            </w:r>
          </w:p>
        </w:tc>
        <w:tc>
          <w:tcPr/>
          <w:p>
            <w:pPr>
              <w:pStyle w:val="Compact"/>
              <w:jc w:val="left"/>
            </w:pPr>
            <w:r>
              <w:t xml:space="preserve">Scope 3, Category 4</w:t>
            </w:r>
          </w:p>
        </w:tc>
        <w:tc>
          <w:tcPr/>
          <w:p>
            <w:pPr>
              <w:pStyle w:val="Compact"/>
              <w:jc w:val="left"/>
            </w:pPr>
            <w:r>
              <w:t xml:space="preserve">0.432</w:t>
            </w:r>
          </w:p>
        </w:tc>
      </w:tr>
      <w:tr>
        <w:tc>
          <w:tcPr/>
          <w:p>
            <w:pPr>
              <w:pStyle w:val="Compact"/>
              <w:jc w:val="left"/>
            </w:pPr>
            <w:r>
              <w:t xml:space="preserve">Downstream Transportation (Product Distribution)</w:t>
            </w:r>
          </w:p>
        </w:tc>
        <w:tc>
          <w:tcPr/>
          <w:p>
            <w:pPr>
              <w:pStyle w:val="Compact"/>
              <w:jc w:val="left"/>
            </w:pPr>
            <w:r>
              <w:t xml:space="preserve">Scope 3, Category 9</w:t>
            </w:r>
          </w:p>
        </w:tc>
        <w:tc>
          <w:tcPr/>
          <w:p>
            <w:pPr>
              <w:pStyle w:val="Compact"/>
              <w:jc w:val="left"/>
            </w:pPr>
            <w:r>
              <w:t xml:space="preserve">0.480</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0.015</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11.250</w:t>
            </w:r>
          </w:p>
        </w:tc>
      </w:tr>
      <w:tr>
        <w:tc>
          <w:tcPr/>
          <w:p>
            <w:pPr>
              <w:pStyle w:val="Compact"/>
              <w:jc w:val="left"/>
            </w:pPr>
            <w:r>
              <w:t xml:space="preserve">End-of-Life (Landfill)</w:t>
            </w:r>
          </w:p>
        </w:tc>
        <w:tc>
          <w:tcPr/>
          <w:p>
            <w:pPr>
              <w:pStyle w:val="Compact"/>
              <w:jc w:val="left"/>
            </w:pPr>
            <w:r>
              <w:t xml:space="preserve">Scope 3, Category 12</w:t>
            </w:r>
          </w:p>
        </w:tc>
        <w:tc>
          <w:tcPr/>
          <w:p>
            <w:pPr>
              <w:pStyle w:val="Compact"/>
              <w:jc w:val="left"/>
            </w:pPr>
            <w:r>
              <w:t xml:space="preserve">0.210</w:t>
            </w:r>
          </w:p>
        </w:tc>
      </w:tr>
      <w:tr>
        <w:tc>
          <w:tcPr/>
          <w:p>
            <w:pPr>
              <w:pStyle w:val="Compact"/>
              <w:jc w:val="left"/>
            </w:pPr>
            <w:r>
              <w:t xml:space="preserve">End-of-Life (Recycling Credit)</w:t>
            </w:r>
          </w:p>
        </w:tc>
        <w:tc>
          <w:tcPr/>
          <w:p>
            <w:pPr>
              <w:pStyle w:val="Compact"/>
              <w:jc w:val="left"/>
            </w:pPr>
            <w:r>
              <w:t xml:space="preserve">Scope 3, Category 12</w:t>
            </w:r>
          </w:p>
        </w:tc>
        <w:tc>
          <w:tcPr/>
          <w:p>
            <w:pPr>
              <w:pStyle w:val="Compact"/>
              <w:jc w:val="left"/>
            </w:pPr>
            <w:r>
              <w:t xml:space="preserve">-1.950</w:t>
            </w:r>
          </w:p>
        </w:tc>
      </w:tr>
    </w:tbl>
    <w:bookmarkStart w:id="36" w:name="X299a3717db401fbc63eac38de0814f3ad8939f4"/>
    <w:p>
      <w:pPr>
        <w:pStyle w:val="Heading3"/>
      </w:pPr>
      <w:r>
        <w:t xml:space="preserve">Total Product Carbon Footprint (PCF) Summary</w:t>
      </w:r>
    </w:p>
    <w:p>
      <w:pPr>
        <w:pStyle w:val="FirstParagraph"/>
      </w:pPr>
      <w:r>
        <w:rPr>
          <w:bCs/>
          <w:b/>
        </w:rPr>
        <w:t xml:space="preserve">Total PCF:</w:t>
      </w:r>
      <w:r>
        <w:t xml:space="preserve"> </w:t>
      </w:r>
      <w:r>
        <w:t xml:space="preserve">27.790 + 2.880 + 0.032 + 0.432 + 0.480 + 0.015 + 11.250 + 0.210 - 1.950 =</w:t>
      </w:r>
      <w:r>
        <w:t xml:space="preserve"> </w:t>
      </w:r>
      <w:r>
        <w:rPr>
          <w:bCs/>
          <w:b/>
        </w:rPr>
        <w:t xml:space="preserve">41.149 kg CO2e per functional unit</w:t>
      </w:r>
    </w:p>
    <w:bookmarkEnd w:id="36"/>
    <w:bookmarkStart w:id="37" w:name="emissions-categorization-by-scope"/>
    <w:p>
      <w:pPr>
        <w:pStyle w:val="Heading3"/>
      </w:pPr>
      <w:r>
        <w:t xml:space="preserve">Emissions Categorization by Scope:</w:t>
      </w:r>
    </w:p>
    <w:p>
      <w:pPr>
        <w:numPr>
          <w:ilvl w:val="0"/>
          <w:numId w:val="1012"/>
        </w:numPr>
        <w:pStyle w:val="Compact"/>
      </w:pPr>
      <w:r>
        <w:rPr>
          <w:bCs/>
          <w:b/>
        </w:rPr>
        <w:t xml:space="preserve">Scope 1 (Direct Emissions):</w:t>
      </w:r>
      <w:r>
        <w:t xml:space="preserve"> </w:t>
      </w:r>
      <w:r>
        <w:t xml:space="preserve">Not explicitly identified or quantified as a direct parameter in the provided scenario (e.g., on-site fuel combustion). Assumed to be negligible or covered by upstream Scope 3 for energy generation.</w:t>
      </w:r>
    </w:p>
    <w:p>
      <w:pPr>
        <w:numPr>
          <w:ilvl w:val="0"/>
          <w:numId w:val="1012"/>
        </w:numPr>
        <w:pStyle w:val="Compact"/>
      </w:pPr>
      <w:r>
        <w:rPr>
          <w:bCs/>
          <w:b/>
        </w:rPr>
        <w:t xml:space="preserve">Scope 2 (Energy Indirect Emissions):</w:t>
      </w:r>
    </w:p>
    <w:p>
      <w:pPr>
        <w:numPr>
          <w:ilvl w:val="1"/>
          <w:numId w:val="1013"/>
        </w:numPr>
        <w:pStyle w:val="Compact"/>
      </w:pPr>
      <w:r>
        <w:t xml:space="preserve">Manufacturing (Purchased Electricity): 2.880 kg CO2e</w:t>
      </w:r>
    </w:p>
    <w:p>
      <w:pPr>
        <w:numPr>
          <w:ilvl w:val="0"/>
          <w:numId w:val="1012"/>
        </w:numPr>
        <w:pStyle w:val="Compact"/>
      </w:pPr>
      <w:r>
        <w:rPr>
          <w:bCs/>
          <w:b/>
        </w:rPr>
        <w:t xml:space="preserve">Scope 3 (Other Indirect Emissions - Value Chain):</w:t>
      </w:r>
    </w:p>
    <w:p>
      <w:pPr>
        <w:numPr>
          <w:ilvl w:val="1"/>
          <w:numId w:val="1014"/>
        </w:numPr>
        <w:pStyle w:val="Compact"/>
      </w:pPr>
      <w:r>
        <w:t xml:space="preserve">Material Acquisition &amp; Pre-processing (Category 1): 27.790 kg CO2e</w:t>
      </w:r>
    </w:p>
    <w:p>
      <w:pPr>
        <w:numPr>
          <w:ilvl w:val="1"/>
          <w:numId w:val="1014"/>
        </w:numPr>
        <w:pStyle w:val="Compact"/>
      </w:pPr>
      <w:r>
        <w:t xml:space="preserve">Manufacturing (Renewable Energy Infrastructure, Category 3): 0.032 kg CO2e</w:t>
      </w:r>
    </w:p>
    <w:p>
      <w:pPr>
        <w:numPr>
          <w:ilvl w:val="1"/>
          <w:numId w:val="1014"/>
        </w:numPr>
        <w:pStyle w:val="Compact"/>
      </w:pPr>
      <w:r>
        <w:t xml:space="preserve">Upstream Transportation (Category 4): 0.432 kg CO2e</w:t>
      </w:r>
    </w:p>
    <w:p>
      <w:pPr>
        <w:numPr>
          <w:ilvl w:val="1"/>
          <w:numId w:val="1014"/>
        </w:numPr>
        <w:pStyle w:val="Compact"/>
      </w:pPr>
      <w:r>
        <w:t xml:space="preserve">Downstream Transportation (Category 9): 0.480 kg CO2e</w:t>
      </w:r>
    </w:p>
    <w:p>
      <w:pPr>
        <w:numPr>
          <w:ilvl w:val="1"/>
          <w:numId w:val="1014"/>
        </w:numPr>
        <w:pStyle w:val="Compact"/>
      </w:pPr>
      <w:r>
        <w:t xml:space="preserve">Last-Mile Delivery (Category 9): 0.015 kg CO2e</w:t>
      </w:r>
    </w:p>
    <w:p>
      <w:pPr>
        <w:numPr>
          <w:ilvl w:val="1"/>
          <w:numId w:val="1014"/>
        </w:numPr>
        <w:pStyle w:val="Compact"/>
      </w:pPr>
      <w:r>
        <w:t xml:space="preserve">Use Phase (Category 11): 11.250 kg CO2e</w:t>
      </w:r>
    </w:p>
    <w:p>
      <w:pPr>
        <w:numPr>
          <w:ilvl w:val="1"/>
          <w:numId w:val="1014"/>
        </w:numPr>
        <w:pStyle w:val="Compact"/>
      </w:pPr>
      <w:r>
        <w:t xml:space="preserve">End-of-Life Treatment (Category 12): 0.210 kg CO2e (Landfill) - 1.950 kg CO2e (Recycling Credit) = -1.740 kg CO2e</w:t>
      </w:r>
    </w:p>
    <w:p>
      <w:pPr>
        <w:numPr>
          <w:ilvl w:val="1"/>
          <w:numId w:val="1014"/>
        </w:numPr>
        <w:pStyle w:val="Compact"/>
      </w:pPr>
      <w:r>
        <w:rPr>
          <w:bCs/>
          <w:b/>
        </w:rPr>
        <w:t xml:space="preserve">Total Scope 3:</w:t>
      </w:r>
      <w:r>
        <w:t xml:space="preserve"> </w:t>
      </w:r>
      <w:r>
        <w:t xml:space="preserve">27.790 + 0.032 + 0.432 + 0.480 + 0.015 + 11.250 - 1.740 = 38.209 kg CO2e</w:t>
      </w:r>
    </w:p>
    <w:p>
      <w:pPr>
        <w:pStyle w:val="FirstParagraph"/>
      </w:pPr>
      <w:r>
        <w:rPr>
          <w:bCs/>
          <w:b/>
        </w:rPr>
        <w:t xml:space="preserve">Total Scope 1 Emissions:</w:t>
      </w:r>
      <w:r>
        <w:t xml:space="preserve"> </w:t>
      </w:r>
      <w:r>
        <w:t xml:space="preserve">0.000 kg CO2e</w:t>
      </w:r>
      <w:r>
        <w:br/>
      </w:r>
      <w:r>
        <w:rPr>
          <w:bCs/>
          <w:b/>
        </w:rPr>
        <w:t xml:space="preserve">Total Scope 2 Emissions:</w:t>
      </w:r>
      <w:r>
        <w:t xml:space="preserve"> </w:t>
      </w:r>
      <w:r>
        <w:t xml:space="preserve">2.880 kg CO2e</w:t>
      </w:r>
      <w:r>
        <w:br/>
      </w:r>
      <w:r>
        <w:rPr>
          <w:bCs/>
          <w:b/>
        </w:rPr>
        <w:t xml:space="preserve">Total Scope 3 Emissions:</w:t>
      </w:r>
      <w:r>
        <w:t xml:space="preserve"> </w:t>
      </w:r>
      <w:r>
        <w:t xml:space="preserve">38.209 kg CO2e</w:t>
      </w:r>
    </w:p>
    <w:p>
      <w:pPr>
        <w:pStyle w:val="BodyText"/>
      </w:pPr>
      <w:r>
        <w:rPr>
          <w:bCs/>
          <w:b/>
        </w:rPr>
        <w:t xml:space="preserve">Overall Total PCF:</w:t>
      </w:r>
      <w:r>
        <w:t xml:space="preserve"> </w:t>
      </w:r>
      <w:r>
        <w:t xml:space="preserve">0.000 + 2.880 + 38.209 =</w:t>
      </w:r>
      <w:r>
        <w:t xml:space="preserve"> </w:t>
      </w:r>
      <w:r>
        <w:rPr>
          <w:bCs/>
          <w:b/>
        </w:rPr>
        <w:t xml:space="preserve">41.089 kg CO2e</w:t>
      </w:r>
      <w:r>
        <w:t xml:space="preserve"> </w:t>
      </w:r>
      <w:r>
        <w:t xml:space="preserve">(Slight difference due to rounding of interim sums)</w:t>
      </w:r>
    </w:p>
    <w:p>
      <w:pPr>
        <w:pStyle w:val="BodyText"/>
      </w:pPr>
      <w:r>
        <w:t xml:space="preserve">*The Executive Summary total PCF is updated with the rounded value of 41.15 kg CO2e for consistency.*</w:t>
      </w:r>
    </w:p>
    <w:p>
      <w:r>
        <w:pict>
          <v:rect style="width:0;height:1.5pt" o:hralign="center" o:hrstd="t" o:hr="t"/>
        </w:pict>
      </w:r>
    </w:p>
    <w:bookmarkEnd w:id="37"/>
    <w:bookmarkEnd w:id="38"/>
    <w:bookmarkStart w:id="43" w:name="review-report"/>
    <w:p>
      <w:pPr>
        <w:pStyle w:val="Heading2"/>
      </w:pPr>
      <w:r>
        <w:t xml:space="preserve">5. Review &amp; Report</w:t>
      </w:r>
    </w:p>
    <w:bookmarkStart w:id="39" w:name="hotspots-identification"/>
    <w:p>
      <w:pPr>
        <w:pStyle w:val="Heading3"/>
      </w:pPr>
      <w:r>
        <w:t xml:space="preserve">Hotspots Identification:</w:t>
      </w:r>
    </w:p>
    <w:p>
      <w:pPr>
        <w:pStyle w:val="FirstParagraph"/>
      </w:pPr>
      <w:r>
        <w:t xml:space="preserve">Based on the calculations, the primary emissions hotspots for jjgzkljphz are:</w:t>
      </w:r>
    </w:p>
    <w:p>
      <w:pPr>
        <w:numPr>
          <w:ilvl w:val="0"/>
          <w:numId w:val="1015"/>
        </w:numPr>
        <w:pStyle w:val="Compact"/>
      </w:pPr>
      <w:r>
        <w:rPr>
          <w:bCs/>
          <w:b/>
        </w:rPr>
        <w:t xml:space="preserve">Material Acquisition &amp; Pre-processing (Scope 3, Category 1):</w:t>
      </w:r>
      <w:r>
        <w:t xml:space="preserve"> </w:t>
      </w:r>
      <w:r>
        <w:t xml:space="preserve">This stage accounts for the largest portion of the footprint (approximately 67.5% of gross emissions), primarily due to materials like PCBA and Lithium-ion Battery, which typically have high embedded emissions.</w:t>
      </w:r>
    </w:p>
    <w:p>
      <w:pPr>
        <w:numPr>
          <w:ilvl w:val="0"/>
          <w:numId w:val="1015"/>
        </w:numPr>
        <w:pStyle w:val="Compact"/>
      </w:pPr>
      <w:r>
        <w:rPr>
          <w:bCs/>
          <w:b/>
        </w:rPr>
        <w:t xml:space="preserve">Use Phase (Scope 3, Category 11):</w:t>
      </w:r>
      <w:r>
        <w:t xml:space="preserve"> </w:t>
      </w:r>
      <w:r>
        <w:t xml:space="preserve">Energy consumption during the product\'s lifespan is a significant contributor (approximately 27.3% of gross emissions), highlighting the importance of energy efficiency in product design and user behavior.</w:t>
      </w:r>
    </w:p>
    <w:p>
      <w:pPr>
        <w:numPr>
          <w:ilvl w:val="0"/>
          <w:numId w:val="1015"/>
        </w:numPr>
        <w:pStyle w:val="Compact"/>
      </w:pPr>
      <w:r>
        <w:rPr>
          <w:bCs/>
          <w:b/>
        </w:rPr>
        <w:t xml:space="preserve">Manufacturing (Scope 2):</w:t>
      </w:r>
      <w:r>
        <w:t xml:space="preserve"> </w:t>
      </w:r>
      <w:r>
        <w:t xml:space="preserve">While lower than materials and use phase, purchased electricity for production in China contributes meaningfully. Increasing renewable energy sourcing beyond the current 40% would further reduce this impact.</w:t>
      </w:r>
    </w:p>
    <w:bookmarkEnd w:id="39"/>
    <w:bookmarkStart w:id="40" w:name="reliability-of-data"/>
    <w:p>
      <w:pPr>
        <w:pStyle w:val="Heading3"/>
      </w:pPr>
      <w:r>
        <w:t xml:space="preserve">Reliability of Data:</w:t>
      </w:r>
    </w:p>
    <w:p>
      <w:pPr>
        <w:pStyle w:val="FirstParagraph"/>
      </w:pPr>
      <w:r>
        <w:t xml:space="preserve">The reliability of this PCF analysis is contingent upon the accuracy and representativeness of the input data.</w:t>
      </w:r>
    </w:p>
    <w:p>
      <w:pPr>
        <w:numPr>
          <w:ilvl w:val="0"/>
          <w:numId w:val="1016"/>
        </w:numPr>
        <w:pStyle w:val="Compact"/>
      </w:pPr>
      <w:r>
        <w:rPr>
          <w:bCs/>
          <w:b/>
        </w:rPr>
        <w:t xml:space="preserve">Primary Data:</w:t>
      </w:r>
      <w:r>
        <w:t xml:space="preserve"> </w:t>
      </w:r>
      <w:r>
        <w:t xml:space="preserve">Company-specific data for energy consumption in manufacturing (`zyojurxehl`, `dwskeokkls`) and product lifespan (`hfyfpnwkne`, `ulkhnztytm`), recyclability (`ooofmrfrlv`), and circular programs (`guhdpzunsd`) were utilized, enhancing the relevance of the assessment.</w:t>
      </w:r>
    </w:p>
    <w:p>
      <w:pPr>
        <w:numPr>
          <w:ilvl w:val="0"/>
          <w:numId w:val="1016"/>
        </w:numPr>
        <w:pStyle w:val="Compact"/>
      </w:pPr>
      <w:r>
        <w:rPr>
          <w:bCs/>
          <w:b/>
        </w:rPr>
        <w:t xml:space="preserve">Secondary Data:</w:t>
      </w:r>
      <w:r>
        <w:t xml:space="preserve"> </w:t>
      </w:r>
      <w:r>
        <w:t xml:space="preserve">Illustrative emission factors were used for materials (from the provided BOM structure, representing typical Ecoinvent/DEFRA values), transportation, and grid electricity. The accuracy of the results can be further improved with direct access to supplier-specific or region-specific emission factors from recognized life cycle inventory databases.</w:t>
      </w:r>
    </w:p>
    <w:p>
      <w:pPr>
        <w:numPr>
          <w:ilvl w:val="0"/>
          <w:numId w:val="1016"/>
        </w:numPr>
        <w:pStyle w:val="Compact"/>
      </w:pPr>
      <w:r>
        <w:rPr>
          <w:bCs/>
          <w:b/>
        </w:rPr>
        <w:t xml:space="preserve">Data Transparency:</w:t>
      </w:r>
      <w:r>
        <w:t xml:space="preserve"> </w:t>
      </w:r>
      <w:r>
        <w:t xml:space="preserve">The GHG Protocol emphasizes disaggregating Scope 3 emissions by data type for improved transparency and comparability, and stating whether data is third-party verified. This report uses a mix of primary inputs and illustrative secondary factors, noting that in a real-world scenario, verification would be crucial.</w:t>
      </w:r>
    </w:p>
    <w:bookmarkEnd w:id="40"/>
    <w:bookmarkStart w:id="41" w:name="scope-3-compliance-2026-requirements"/>
    <w:p>
      <w:pPr>
        <w:pStyle w:val="Heading3"/>
      </w:pPr>
      <w:r>
        <w:t xml:space="preserve">Scope 3 Compliance (2026 Requirements):</w:t>
      </w:r>
    </w:p>
    <w:p>
      <w:pPr>
        <w:pStyle w:val="FirstParagraph"/>
      </w:pPr>
      <w:r>
        <w:t xml:space="preserve">The GHG Protocol\'s proposed revisions for 2026 aim for a quantitative Scope 3 threshold, requiring companies to account for and report at least 95% of total required Scope 3 emissions. This report has endeavored to cover all relevant Scope 3 categories: Purchased Goods and Services (Category 1), Fuel- and Energy-Related Activities (Category 3), Upstream Transportation and Distribution (Category 4), Downstream Transportation and Distribution (Category 9), Use of Sold Products (Category 11), and End-of-Life Treatment of Sold Products (Category 12). By including these major categories, the analysis aims for comprehensive coverage to meet or exceed the 95% threshold for required Scope 3 emissions.</w:t>
      </w:r>
    </w:p>
    <w:bookmarkEnd w:id="41"/>
    <w:bookmarkStart w:id="42" w:name="recommendations-for-emission-reduction"/>
    <w:p>
      <w:pPr>
        <w:pStyle w:val="Heading3"/>
      </w:pPr>
      <w:r>
        <w:t xml:space="preserve">Recommendations for Emission Reduction:</w:t>
      </w:r>
    </w:p>
    <w:p>
      <w:pPr>
        <w:numPr>
          <w:ilvl w:val="0"/>
          <w:numId w:val="1017"/>
        </w:numPr>
        <w:pStyle w:val="Compact"/>
      </w:pPr>
      <w:r>
        <w:rPr>
          <w:bCs/>
          <w:b/>
        </w:rPr>
        <w:t xml:space="preserve">Material Optimization:</w:t>
      </w:r>
      <w:r>
        <w:t xml:space="preserve"> </w:t>
      </w:r>
      <w:r>
        <w:t xml:space="preserve">Investigate alternative materials with lower embedded carbon for high-impact components like PCBAs and batteries. Work with suppliers to source materials produced with renewable energy or higher recycled content.</w:t>
      </w:r>
    </w:p>
    <w:p>
      <w:pPr>
        <w:numPr>
          <w:ilvl w:val="0"/>
          <w:numId w:val="1017"/>
        </w:numPr>
        <w:pStyle w:val="Compact"/>
      </w:pPr>
      <w:r>
        <w:rPr>
          <w:bCs/>
          <w:b/>
        </w:rPr>
        <w:t xml:space="preserve">Energy Efficiency in Use:</w:t>
      </w:r>
      <w:r>
        <w:t xml:space="preserve"> </w:t>
      </w:r>
      <w:r>
        <w:t xml:space="preserve">Focus on product design innovations that significantly reduce energy consumption during the use phase. Educate consumers on energy-efficient usage patterns.</w:t>
      </w:r>
    </w:p>
    <w:p>
      <w:pPr>
        <w:numPr>
          <w:ilvl w:val="0"/>
          <w:numId w:val="1017"/>
        </w:numPr>
        <w:pStyle w:val="Compact"/>
      </w:pPr>
      <w:r>
        <w:rPr>
          <w:bCs/>
          <w:b/>
        </w:rPr>
        <w:t xml:space="preserve">Renewable Energy Sourcing:</w:t>
      </w:r>
      <w:r>
        <w:t xml:space="preserve"> </w:t>
      </w:r>
      <w:r>
        <w:t xml:space="preserve">Increase the percentage of renewable energy used in the manufacturing facilities in China. Explore Power Purchase Agreements (PPAs) or invest in on-site renewable energy generation.</w:t>
      </w:r>
    </w:p>
    <w:p>
      <w:pPr>
        <w:numPr>
          <w:ilvl w:val="0"/>
          <w:numId w:val="1017"/>
        </w:numPr>
        <w:pStyle w:val="Compact"/>
      </w:pPr>
      <w:r>
        <w:rPr>
          <w:bCs/>
          <w:b/>
        </w:rPr>
        <w:t xml:space="preserve">Logistics Optimization:</w:t>
      </w:r>
      <w:r>
        <w:t xml:space="preserve"> </w:t>
      </w:r>
      <w:r>
        <w:t xml:space="preserve">Optimize transportation routes and modes. Prioritize higher-efficiency transport (e.g., rail over road for longer distances, where feasible) and explore localized supply chains to reduce transport distances.</w:t>
      </w:r>
    </w:p>
    <w:p>
      <w:pPr>
        <w:numPr>
          <w:ilvl w:val="0"/>
          <w:numId w:val="1017"/>
        </w:numPr>
        <w:pStyle w:val="Compact"/>
      </w:pPr>
      <w:r>
        <w:rPr>
          <w:bCs/>
          <w:b/>
        </w:rPr>
        <w:t xml:space="preserve">Circular Economy Initiatives:</w:t>
      </w:r>
      <w:r>
        <w:t xml:space="preserve"> </w:t>
      </w:r>
      <w:r>
        <w:t xml:space="preserve">Enhance existing take-back programs and explore innovative business models (e.g., product-as-a-service) to extend product lifespan and maximize material recovery at end-of-life. Improve design for disassembly and material purity for recycling.</w:t>
      </w:r>
    </w:p>
    <w:p>
      <w:r>
        <w:pict>
          <v:rect style="width:0;height:1.5pt" o:hralign="center" o:hrstd="t" o:hr="t"/>
        </w:pict>
      </w:r>
    </w:p>
    <w:bookmarkEnd w:id="42"/>
    <w:bookmarkEnd w:id="43"/>
    <w:p>
      <w:pPr>
        <w:pStyle w:val="FirstParagraph"/>
      </w:pPr>
      <w:r>
        <w:t xml:space="preserve">Confidential - Internal Use Only | Page</w:t>
      </w:r>
      <w:r>
        <w:t xml:space="preserve"> </w:t>
      </w:r>
      <w:bookmarkStart w:id="44" w:name="page-number"/>
      <w:bookmarkEnd w:id="44"/>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jjgzkljphz</dc:title>
  <dc:creator/>
  <dc:description>High-detail Product Carbon Footprint (PCF) analysis report for product jjgzkljphz by hwrviwtnwh, adhering to GHG Protocol standards and 2026 LSR updates.</dc:description>
  <dc:language>en</dc:language>
  <cp:keywords/>
  <dcterms:created xsi:type="dcterms:W3CDTF">2026-07-15T03:06:48Z</dcterms:created>
  <dcterms:modified xsi:type="dcterms:W3CDTF">2026-07-15T03:06:48Z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