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jivxniphtr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jivxniphtr</w:t>
      </w:r>
    </w:p>
    <w:p>
      <w:pPr>
        <w:pStyle w:val="BodyText"/>
      </w:pPr>
      <w:r>
        <w:rPr>
          <w:bCs/>
          <w:b/>
        </w:rPr>
        <w:t xml:space="preserve">Company Name:</w:t>
      </w:r>
      <w:r>
        <w:t xml:space="preserve"> </w:t>
      </w:r>
      <w:r>
        <w:t xml:space="preserve">wesgrsdhjw</w:t>
      </w:r>
    </w:p>
    <w:p>
      <w:pPr>
        <w:pStyle w:val="BodyText"/>
      </w:pPr>
      <w:r>
        <w:rPr>
          <w:bCs/>
          <w:b/>
        </w:rPr>
        <w:t xml:space="preserve">Senior Sustainability Consultant:</w:t>
      </w:r>
      <w:r>
        <w:t xml:space="preserve"> </w:t>
      </w:r>
      <w:r>
        <w:t xml:space="preserve">hewqmglyhy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 high-detail Product Carbon Footprint (PCF) analysis. While every effort has been made to ensure accuracy and adherence to stated methodologies, specific assumptions and estimates have been used where primary data was not available.</w:t>
      </w:r>
    </w:p>
    <w:bookmarkEnd w:id="20"/>
    <w:bookmarkStart w:id="21" w:name="X1773a343f76013be9480541b612b8ea2c333cda"/>
    <w:p>
      <w:pPr>
        <w:pStyle w:val="Heading1"/>
      </w:pPr>
      <w:r>
        <w:t xml:space="preserve">Product Carbon Footprint Analysis for jivxniphtr</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comprehensive Product Carbon Footprint (PCF) analysis for \'jivxniphtr\', manufactured by \'wesgrsdhjw\'. The analysis, conducted by hewqmglyhy, Senior Sustainability Consultant, adheres to the Greenhouse Gas (GHG) Protocol Product Standard, covering a Cradle-to-Grave system boundary. The total carbon footprint for one functional unit of \'jivxniphtr\' is calculated to be</w:t>
      </w:r>
      <w:r>
        <w:t xml:space="preserve"> </w:t>
      </w:r>
      <w:r>
        <w:rPr>
          <w:bCs/>
          <w:b/>
        </w:rPr>
        <w:t xml:space="preserve">25.85 kgCO2e</w:t>
      </w:r>
      <w:r>
        <w:t xml:space="preserve">. The primary hotspots identified are the Use Phase and the upstream emissions from Purchased Goods &amp; Services (materials), underscoring the importance of material selection and product energy efficiency. This analysis also considers the upcoming GHG Protocol Land Sector and Removals (LSR) Standard updates for a forward-looking perspective.</w:t>
      </w:r>
    </w:p>
    <w:p>
      <w:r>
        <w:pict>
          <v:rect style="width:0;height:1.5pt" o:hralign="center" o:hrstd="t" o:hr="t"/>
        </w:pict>
      </w:r>
    </w:p>
    <w:bookmarkEnd w:id="22"/>
    <w:bookmarkStart w:id="28" w:name="definition-of-scope"/>
    <w:p>
      <w:pPr>
        <w:pStyle w:val="Heading2"/>
      </w:pPr>
      <w:r>
        <w:t xml:space="preserve">1. Definition of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\'jivxniphtr\'</w:t>
      </w:r>
      <w:r>
        <w:t xml:space="preserve">. This unit serves as the reference basis for all quantified environmental impacts throughout the product\'s life cycle.</w:t>
      </w:r>
    </w:p>
    <w:bookmarkEnd w:id="23"/>
    <w:bookmarkStart w:id="24" w:name="system-boundary"/>
    <w:p>
      <w:pPr>
        <w:pStyle w:val="Heading3"/>
      </w:pPr>
      <w:r>
        <w:t xml:space="preserve">1.2. System Boundary</w:t>
      </w:r>
    </w:p>
    <w:p>
      <w:pPr>
        <w:pStyle w:val="FirstParagraph"/>
      </w:pPr>
      <w:r>
        <w:t xml:space="preserve">While the initial parameter specified a \'factory_gate\' system boundary, the explicit requirement to incorporate \'Use Phase\' and \'End-of-Life\' scenarios necessitates an expanded system boundary. Therefore, this analysis adopts a</w:t>
      </w:r>
      <w:r>
        <w:t xml:space="preserve"> </w:t>
      </w:r>
      <w:r>
        <w:rPr>
          <w:bCs/>
          <w:b/>
        </w:rPr>
        <w:t xml:space="preserve">Cradle-to-Grave</w:t>
      </w:r>
      <w:r>
        <w:t xml:space="preserve"> </w:t>
      </w:r>
      <w:r>
        <w:t xml:space="preserve">approach, encompassing the entire life cycle of \'jivxniphtr\'. This includes:</w:t>
      </w:r>
    </w:p>
    <w:p>
      <w:pPr>
        <w:numPr>
          <w:ilvl w:val="0"/>
          <w:numId w:val="1001"/>
        </w:numPr>
        <w:pStyle w:val="Compact"/>
      </w:pPr>
      <w:r>
        <w:rPr>
          <w:bCs/>
          <w:b/>
        </w:rPr>
        <w:t xml:space="preserve">Raw Material Acquisition:</w:t>
      </w:r>
      <w:r>
        <w:t xml:space="preserve"> </w:t>
      </w:r>
      <w:r>
        <w:t xml:space="preserve">Extraction, processing, and production of all raw materials and components.</w:t>
      </w:r>
    </w:p>
    <w:p>
      <w:pPr>
        <w:numPr>
          <w:ilvl w:val="0"/>
          <w:numId w:val="1001"/>
        </w:numPr>
        <w:pStyle w:val="Compact"/>
      </w:pPr>
      <w:r>
        <w:rPr>
          <w:bCs/>
          <w:b/>
        </w:rPr>
        <w:t xml:space="preserve">Manufacturing:</w:t>
      </w:r>
      <w:r>
        <w:t xml:space="preserve"> </w:t>
      </w:r>
      <w:r>
        <w:t xml:space="preserve">All processes at the production facility in China, including energy consumption and direct emissions.</w:t>
      </w:r>
    </w:p>
    <w:p>
      <w:pPr>
        <w:numPr>
          <w:ilvl w:val="0"/>
          <w:numId w:val="1001"/>
        </w:numPr>
        <w:pStyle w:val="Compact"/>
      </w:pPr>
      <w:r>
        <w:rPr>
          <w:bCs/>
          <w:b/>
        </w:rPr>
        <w:t xml:space="preserve">Distribution:</w:t>
      </w:r>
      <w:r>
        <w:t xml:space="preserve"> </w:t>
      </w:r>
      <w:r>
        <w:t xml:space="preserve">Transportation of the finished product from the factory gate in China to the customer in Europe, including last-mile delivery.</w:t>
      </w:r>
    </w:p>
    <w:p>
      <w:pPr>
        <w:numPr>
          <w:ilvl w:val="0"/>
          <w:numId w:val="1001"/>
        </w:numPr>
        <w:pStyle w:val="Compact"/>
      </w:pPr>
      <w:r>
        <w:rPr>
          <w:bCs/>
          <w:b/>
        </w:rPr>
        <w:t xml:space="preserve">Use Phase:</w:t>
      </w:r>
      <w:r>
        <w:t xml:space="preserve"> </w:t>
      </w:r>
      <w:r>
        <w:t xml:space="preserve">Energy consumption during the typical lifespan of the product by the end-user in Europe.</w:t>
      </w:r>
    </w:p>
    <w:p>
      <w:pPr>
        <w:numPr>
          <w:ilvl w:val="0"/>
          <w:numId w:val="1001"/>
        </w:numPr>
        <w:pStyle w:val="Compact"/>
      </w:pPr>
      <w:r>
        <w:rPr>
          <w:bCs/>
          <w:b/>
        </w:rPr>
        <w:t xml:space="preserve">End-of-Life (EoL):</w:t>
      </w:r>
      <w:r>
        <w:t xml:space="preserve"> </w:t>
      </w:r>
      <w:r>
        <w:t xml:space="preserve">Disposal and recycling processes at the end of the product\'s functional life in Europe.</w:t>
      </w:r>
    </w:p>
    <w:bookmarkEnd w:id="24"/>
    <w:bookmarkStart w:id="25" w:name="geographic-scope"/>
    <w:p>
      <w:pPr>
        <w:pStyle w:val="Heading3"/>
      </w:pPr>
      <w:r>
        <w:t xml:space="preserve">1.3. Geographic Scope</w:t>
      </w:r>
    </w:p>
    <w:p>
      <w:pPr>
        <w:pStyle w:val="FirstParagraph"/>
      </w:pPr>
      <w:r>
        <w:t xml:space="preserve">The final production country for \'jivxniphtr\' is</w:t>
      </w:r>
      <w:r>
        <w:t xml:space="preserve"> </w:t>
      </w:r>
      <w:r>
        <w:rPr>
          <w:bCs/>
          <w:b/>
        </w:rPr>
        <w:t xml:space="preserve">China</w:t>
      </w:r>
      <w:r>
        <w:t xml:space="preserve">. The supply chain focus for upstream and downstream activities, particularly distribution, use phase, and end-of-life, is primarily centered on</w:t>
      </w:r>
      <w:r>
        <w:t xml:space="preserve"> </w:t>
      </w:r>
      <w:r>
        <w:rPr>
          <w:bCs/>
          <w:b/>
        </w:rPr>
        <w:t xml:space="preserve">Europe</w:t>
      </w:r>
      <w:r>
        <w:t xml:space="preserve">.</w:t>
      </w:r>
    </w:p>
    <w:bookmarkEnd w:id="25"/>
    <w:bookmarkStart w:id="26" w:name="allocation"/>
    <w:p>
      <w:pPr>
        <w:pStyle w:val="Heading3"/>
      </w:pPr>
      <w:r>
        <w:t xml:space="preserve">1.4. Allocation</w:t>
      </w:r>
    </w:p>
    <w:p>
      <w:pPr>
        <w:pStyle w:val="FirstParagraph"/>
      </w:pPr>
      <w:r>
        <w:t xml:space="preserve">Emissions are allocated directly to the functional unit (1.0 unit of \'jivxniphtr\'). No complex co-product allocation methods were required as the scope focuses on a single product.</w:t>
      </w:r>
    </w:p>
    <w:bookmarkEnd w:id="26"/>
    <w:bookmarkStart w:id="27" w:name="accounting-standard"/>
    <w:p>
      <w:pPr>
        <w:pStyle w:val="Heading3"/>
      </w:pPr>
      <w:r>
        <w:t xml:space="preserve">1.5. Accounting Standard</w:t>
      </w:r>
    </w:p>
    <w:p>
      <w:pPr>
        <w:pStyle w:val="FirstParagraph"/>
      </w:pPr>
      <w:r>
        <w:t xml:space="preserve">This Product Carbon Footprint (PCF) analysis adheres to the principles and requirements of the</w:t>
      </w:r>
      <w:r>
        <w:t xml:space="preserve"> </w:t>
      </w:r>
      <w:r>
        <w:rPr>
          <w:bCs/>
          <w:b/>
        </w:rPr>
        <w:t xml:space="preserve">GHG Protocol Product Life Cycle Accounting and Reporting Standard</w:t>
      </w:r>
      <w:r>
        <w:t xml:space="preserve">. This standard provides a robust framework for companies to measure and report the GHG emissions associated with their products across their entire value chain.</w:t>
      </w:r>
    </w:p>
    <w:p>
      <w:r>
        <w:pict>
          <v:rect style="width:0;height:1.5pt" o:hralign="center" o:hrstd="t" o:hr="t"/>
        </w:pict>
      </w:r>
    </w:p>
    <w:bookmarkEnd w:id="27"/>
    <w:bookmarkEnd w:id="28"/>
    <w:bookmarkStart w:id="36" w:name="mapping-the-lifecycle-3.-data-collection"/>
    <w:p>
      <w:pPr>
        <w:pStyle w:val="Heading2"/>
      </w:pPr>
      <w:r>
        <w:t xml:space="preserve">2. Mapping the Lifecycle &amp; 3. Data Collection</w:t>
      </w:r>
    </w:p>
    <w:p>
      <w:pPr>
        <w:pStyle w:val="FirstParagraph"/>
      </w:pPr>
      <w:r>
        <w:t xml:space="preserve">The lifecycle of \'jivxniphtr\' is broken down into several stages, with data collected or estimated for each, categorized according to the GHG Protocol Scopes. This section details the material and energy inputs.</w:t>
      </w:r>
    </w:p>
    <w:bookmarkStart w:id="29" w:name="X0148687c94873a052efb2ffb14f17f524785773"/>
    <w:p>
      <w:pPr>
        <w:pStyle w:val="Heading3"/>
      </w:pPr>
      <w:r>
        <w:t xml:space="preserve">2.1. Bill of Materials (BOM) &amp; Upstream Material Impact (Scope 3, Category 1)</w:t>
      </w:r>
    </w:p>
    <w:p>
      <w:pPr>
        <w:pStyle w:val="FirstParagraph"/>
      </w:pPr>
      <w:r>
        <w:t xml:space="preserve">The detailed Bill of Materials (\'tlfjjlmw\' placeholder data) was used for high-accuracy material impact calculation. The "Total Carbon" figures provided in the BOM are assumed to represent the cradle-to-gate emissions for each material, incorporating extraction, production, and transport to the point of component manufacturing.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gridSpan w:val="7"/>
          </w:tcPr>
          <w:p>
            <w:pPr>
              <w:pStyle w:val="Compact"/>
              <w:jc w:val="right"/>
            </w:pPr>
            <w:r>
              <w:rPr>
                <w:bCs/>
                <w:b/>
              </w:rPr>
              <w:t xml:space="preserve">Total Material Weight (approx.)</w:t>
            </w:r>
          </w:p>
        </w:tc>
        <w:tc>
          <w:tcPr/>
          <w:p>
            <w:pPr>
              <w:pStyle w:val="Compact"/>
              <w:jc w:val="left"/>
            </w:pPr>
            <w:r>
              <w:rPr>
                <w:bCs/>
                <w:b/>
              </w:rPr>
              <w:t xml:space="preserve">1.00 kg</w:t>
            </w:r>
          </w:p>
        </w:tc>
      </w:tr>
      <w:tr>
        <w:tc>
          <w:tcPr>
            <w:gridSpan w:val="7"/>
          </w:tcPr>
          <w:p>
            <w:pPr>
              <w:pStyle w:val="Compact"/>
              <w:jc w:val="right"/>
            </w:pPr>
            <w:r>
              <w:rPr>
                <w:bCs/>
                <w:b/>
              </w:rPr>
              <w:t xml:space="preserve">Total Carbon from Purchased Goods &amp; Services (Category 1)</w:t>
            </w:r>
          </w:p>
        </w:tc>
        <w:tc>
          <w:tcPr/>
          <w:p>
            <w:pPr>
              <w:pStyle w:val="Compact"/>
              <w:jc w:val="left"/>
            </w:pPr>
            <w:r>
              <w:rPr>
                <w:bCs/>
                <w:b/>
              </w:rPr>
              <w:t xml:space="preserve">10.75 kgCO2e</w:t>
            </w:r>
          </w:p>
        </w:tc>
      </w:tr>
    </w:tbl>
    <w:p>
      <w:pPr>
        <w:pStyle w:val="BodyText"/>
      </w:pPr>
      <w:r>
        <w:rPr>
          <w:iCs/>
          <w:i/>
        </w:rPr>
        <w:t xml:space="preserve">Note on Emission Factors:</w:t>
      </w:r>
      <w:r>
        <w:t xml:space="preserve"> </w:t>
      </w:r>
      <w:r>
        <w:t xml:space="preserve">The emission factors used (e.g., 12.0 kgCO2e/kg for aluminum extrusion, 3.5 kgCO2e/kg for ABS plastic injection molding) are based on industry-average data from sources such as Ecoinvent or DEFRA, representing cradle-to-gate impacts for the specified processes. Aluminum primary production can range from approximately 0.5 kgCO2e/kg to 14.77 kgCO2e/kg depending on regional grid mix and recycled content. The factor for ABS plastic is consistent with values around 3.125 kgCO2e/kg for European production. Copper wire factors also vary, with values around 4.0 kgCO2e/kg used here, acknowledging some sources report higher.</w:t>
      </w:r>
    </w:p>
    <w:bookmarkEnd w:id="29"/>
    <w:bookmarkStart w:id="30" w:name="production-phase-energy-inputs-scope-2"/>
    <w:p>
      <w:pPr>
        <w:pStyle w:val="Heading3"/>
      </w:pPr>
      <w:r>
        <w:t xml:space="preserve">2.2. Production Phase Energy Inputs (Scope 2)</w:t>
      </w:r>
    </w:p>
    <w:p>
      <w:pPr>
        <w:pStyle w:val="FirstParagraph"/>
      </w:pPr>
      <w:r>
        <w:t xml:space="preserve">Energy data for the manufacturing phase at the production facility in China was collected as follows:</w:t>
      </w:r>
    </w:p>
    <w:p>
      <w:pPr>
        <w:numPr>
          <w:ilvl w:val="0"/>
          <w:numId w:val="1002"/>
        </w:numPr>
        <w:pStyle w:val="Compact"/>
      </w:pPr>
      <w:r>
        <w:rPr>
          <w:bCs/>
          <w:b/>
        </w:rPr>
        <w:t xml:space="preserve">Energy Intensity (kWh/unit):</w:t>
      </w:r>
      <w:r>
        <w:t xml:space="preserve"> </w:t>
      </w:r>
      <w:r>
        <w:t xml:space="preserve">phjleosepy (simulated as 15 kWh/unit)</w:t>
      </w:r>
    </w:p>
    <w:p>
      <w:pPr>
        <w:numPr>
          <w:ilvl w:val="0"/>
          <w:numId w:val="1002"/>
        </w:numPr>
        <w:pStyle w:val="Compact"/>
      </w:pPr>
      <w:r>
        <w:rPr>
          <w:bCs/>
          <w:b/>
        </w:rPr>
        <w:t xml:space="preserve">Renewable Energy Usage:</w:t>
      </w:r>
      <w:r>
        <w:t xml:space="preserve"> </w:t>
      </w:r>
      <w:r>
        <w:t xml:space="preserve">dwogthtyhe (simulated as 75% of total electricity)</w:t>
      </w:r>
    </w:p>
    <w:p>
      <w:pPr>
        <w:numPr>
          <w:ilvl w:val="0"/>
          <w:numId w:val="1002"/>
        </w:numPr>
        <w:pStyle w:val="Compact"/>
      </w:pPr>
      <w:r>
        <w:rPr>
          <w:bCs/>
          <w:b/>
        </w:rPr>
        <w:t xml:space="preserve">Non-renewable Electricity:</w:t>
      </w:r>
      <w:r>
        <w:t xml:space="preserve"> </w:t>
      </w:r>
      <w:r>
        <w:t xml:space="preserve">15 kWh * (1 - 0.75) = 3.75 kWh</w:t>
      </w:r>
    </w:p>
    <w:p>
      <w:pPr>
        <w:numPr>
          <w:ilvl w:val="0"/>
          <w:numId w:val="1002"/>
        </w:numPr>
        <w:pStyle w:val="Compact"/>
      </w:pPr>
      <w:r>
        <w:rPr>
          <w:bCs/>
          <w:b/>
        </w:rPr>
        <w:t xml:space="preserve">Renewable Electricity:</w:t>
      </w:r>
      <w:r>
        <w:t xml:space="preserve"> </w:t>
      </w:r>
      <w:r>
        <w:t xml:space="preserve">15 kWh * 0.75 = 11.25 kWh</w:t>
      </w:r>
    </w:p>
    <w:p>
      <w:pPr>
        <w:numPr>
          <w:ilvl w:val="0"/>
          <w:numId w:val="1002"/>
        </w:numPr>
        <w:pStyle w:val="Compact"/>
      </w:pPr>
      <w:r>
        <w:rPr>
          <w:bCs/>
          <w:b/>
        </w:rPr>
        <w:t xml:space="preserve">China Grid Emission Factor:</w:t>
      </w:r>
      <w:r>
        <w:t xml:space="preserve"> </w:t>
      </w:r>
      <w:r>
        <w:t xml:space="preserve">0.57 kgCO2e/kWh (average for 2023-2025, based on official Chinese data and IEA reports, noting variations).</w:t>
      </w:r>
    </w:p>
    <w:p>
      <w:pPr>
        <w:numPr>
          <w:ilvl w:val="0"/>
          <w:numId w:val="1002"/>
        </w:numPr>
        <w:pStyle w:val="Compact"/>
      </w:pPr>
      <w:r>
        <w:rPr>
          <w:bCs/>
          <w:b/>
        </w:rPr>
        <w:t xml:space="preserve">Renewable Energy Emission Factor:</w:t>
      </w:r>
      <w:r>
        <w:t xml:space="preserve"> </w:t>
      </w:r>
      <w:r>
        <w:t xml:space="preserve">0 kgCO2e/kWh (assuming market-based procurement with appropriate energy attribute certificates or Power Purchase Agreements, consistent with GHG Protocol Scope 2 Guidance).</w:t>
      </w:r>
    </w:p>
    <w:bookmarkEnd w:id="30"/>
    <w:bookmarkStart w:id="33" w:name="transport-inputs-scope-3-category-4-9"/>
    <w:p>
      <w:pPr>
        <w:pStyle w:val="Heading3"/>
      </w:pPr>
      <w:r>
        <w:t xml:space="preserve">2.3. Transport Inputs (Scope 3, Category 4 &amp; 9)</w:t>
      </w:r>
    </w:p>
    <w:p>
      <w:pPr>
        <w:pStyle w:val="FirstParagraph"/>
      </w:pPr>
      <w:r>
        <w:t xml:space="preserve">Logistics data was incorporated for both upstream and downstream transportation.</w:t>
      </w:r>
    </w:p>
    <w:bookmarkStart w:id="31" w:name="Xd8f7a3bb7e176f833d690eba5245f52b6ff436f"/>
    <w:p>
      <w:pPr>
        <w:pStyle w:val="Heading4"/>
      </w:pPr>
      <w:r>
        <w:t xml:space="preserve">2.3.1. Upstream Transportation (Raw Materials/Components to Factory)</w:t>
      </w:r>
    </w:p>
    <w:p>
      <w:pPr>
        <w:numPr>
          <w:ilvl w:val="0"/>
          <w:numId w:val="1003"/>
        </w:numPr>
        <w:pStyle w:val="Compact"/>
      </w:pPr>
      <w:r>
        <w:rPr>
          <w:bCs/>
          <w:b/>
        </w:rPr>
        <w:t xml:space="preserve">Estimated Average Inbound Distance:</w:t>
      </w:r>
      <w:r>
        <w:t xml:space="preserve"> </w:t>
      </w:r>
      <w:r>
        <w:t xml:space="preserve">1000 km (e.g., regional road freight within Asia)</w:t>
      </w:r>
    </w:p>
    <w:p>
      <w:pPr>
        <w:numPr>
          <w:ilvl w:val="0"/>
          <w:numId w:val="1003"/>
        </w:numPr>
        <w:pStyle w:val="Compact"/>
      </w:pPr>
      <w:r>
        <w:rPr>
          <w:bCs/>
          <w:b/>
        </w:rPr>
        <w:t xml:space="preserve">Primary Mode:</w:t>
      </w:r>
      <w:r>
        <w:t xml:space="preserve"> </w:t>
      </w:r>
      <w:r>
        <w:t xml:space="preserve">Road Freight</w:t>
      </w:r>
    </w:p>
    <w:p>
      <w:pPr>
        <w:numPr>
          <w:ilvl w:val="0"/>
          <w:numId w:val="1003"/>
        </w:numPr>
        <w:pStyle w:val="Compact"/>
      </w:pPr>
      <w:r>
        <w:rPr>
          <w:bCs/>
          <w:b/>
        </w:rPr>
        <w:t xml:space="preserve">Approx. Total Material Weight:</w:t>
      </w:r>
      <w:r>
        <w:t xml:space="preserve"> </w:t>
      </w:r>
      <w:r>
        <w:t xml:space="preserve">1.0 kg (based on product weight)</w:t>
      </w:r>
    </w:p>
    <w:p>
      <w:pPr>
        <w:numPr>
          <w:ilvl w:val="0"/>
          <w:numId w:val="1003"/>
        </w:numPr>
        <w:pStyle w:val="Compact"/>
      </w:pPr>
      <w:r>
        <w:rPr>
          <w:bCs/>
          <w:b/>
        </w:rPr>
        <w:t xml:space="preserve">Road Freight Emission Factor:</w:t>
      </w:r>
      <w:r>
        <w:t xml:space="preserve"> </w:t>
      </w:r>
      <w:r>
        <w:t xml:space="preserve">0.100 kgCO2e/tonne-km (or 100 gCO2e/tkm, based on industry averages like DEFRA/GLEC for heavy goods vehicles).</w:t>
      </w:r>
    </w:p>
    <w:bookmarkEnd w:id="31"/>
    <w:bookmarkStart w:id="32" w:name="X068cfd5c43fb5bab7f106759a50ceb419cee4ea"/>
    <w:p>
      <w:pPr>
        <w:pStyle w:val="Heading4"/>
      </w:pPr>
      <w:r>
        <w:t xml:space="preserve">2.3.2. Downstream Transportation (Factory to Customer)</w:t>
      </w:r>
    </w:p>
    <w:p>
      <w:pPr>
        <w:numPr>
          <w:ilvl w:val="0"/>
          <w:numId w:val="1004"/>
        </w:numPr>
        <w:pStyle w:val="Compact"/>
      </w:pPr>
      <w:r>
        <w:rPr>
          <w:bCs/>
          <w:b/>
        </w:rPr>
        <w:t xml:space="preserve">Main Transport Mode:</w:t>
      </w:r>
      <w:r>
        <w:t xml:space="preserve"> </w:t>
      </w:r>
      <w:r>
        <w:t xml:space="preserve">Select Mode (simulated as Ocean Freight)</w:t>
      </w:r>
    </w:p>
    <w:p>
      <w:pPr>
        <w:numPr>
          <w:ilvl w:val="0"/>
          <w:numId w:val="1004"/>
        </w:numPr>
        <w:pStyle w:val="Compact"/>
      </w:pPr>
      <w:r>
        <w:rPr>
          <w:bCs/>
          <w:b/>
        </w:rPr>
        <w:t xml:space="preserve">Main Transport Distance:</w:t>
      </w:r>
      <w:r>
        <w:t xml:space="preserve"> </w:t>
      </w:r>
      <w:r>
        <w:t xml:space="preserve">npjkzxeqqy (simulated as 8000 km, China to Europe)</w:t>
      </w:r>
    </w:p>
    <w:p>
      <w:pPr>
        <w:numPr>
          <w:ilvl w:val="0"/>
          <w:numId w:val="1004"/>
        </w:numPr>
        <w:pStyle w:val="Compact"/>
      </w:pPr>
      <w:r>
        <w:rPr>
          <w:bCs/>
          <w:b/>
        </w:rPr>
        <w:t xml:space="preserve">Last-Mile Delivery Channel:</w:t>
      </w:r>
      <w:r>
        <w:t xml:space="preserve"> </w:t>
      </w:r>
      <w:r>
        <w:t xml:space="preserve">Delivery Type (simulated as Road Freight - Parcel Delivery)</w:t>
      </w:r>
    </w:p>
    <w:p>
      <w:pPr>
        <w:numPr>
          <w:ilvl w:val="0"/>
          <w:numId w:val="1004"/>
        </w:numPr>
        <w:pStyle w:val="Compact"/>
      </w:pPr>
      <w:r>
        <w:rPr>
          <w:bCs/>
          <w:b/>
        </w:rPr>
        <w:t xml:space="preserve">Last-Mile Delivery Distance:</w:t>
      </w:r>
      <w:r>
        <w:t xml:space="preserve"> </w:t>
      </w:r>
      <w:r>
        <w:t xml:space="preserve">500 km (within Europe)</w:t>
      </w:r>
    </w:p>
    <w:p>
      <w:pPr>
        <w:numPr>
          <w:ilvl w:val="0"/>
          <w:numId w:val="1004"/>
        </w:numPr>
        <w:pStyle w:val="Compact"/>
      </w:pPr>
      <w:r>
        <w:rPr>
          <w:bCs/>
          <w:b/>
        </w:rPr>
        <w:t xml:space="preserve">Product Weight for Transport:</w:t>
      </w:r>
      <w:r>
        <w:t xml:space="preserve"> </w:t>
      </w:r>
      <w:r>
        <w:t xml:space="preserve">1.0 kg</w:t>
      </w:r>
    </w:p>
    <w:p>
      <w:pPr>
        <w:numPr>
          <w:ilvl w:val="0"/>
          <w:numId w:val="1004"/>
        </w:numPr>
        <w:pStyle w:val="Compact"/>
      </w:pPr>
      <w:r>
        <w:rPr>
          <w:bCs/>
          <w:b/>
        </w:rPr>
        <w:t xml:space="preserve">Ocean Freight Emission Factor:</w:t>
      </w:r>
      <w:r>
        <w:t xml:space="preserve"> </w:t>
      </w:r>
      <w:r>
        <w:t xml:space="preserve">0.016 kgCO2e/tonne-km (or 16 gCO2e/tkm, for container ships).</w:t>
      </w:r>
    </w:p>
    <w:p>
      <w:pPr>
        <w:numPr>
          <w:ilvl w:val="0"/>
          <w:numId w:val="1004"/>
        </w:numPr>
        <w:pStyle w:val="Compact"/>
      </w:pPr>
      <w:r>
        <w:rPr>
          <w:bCs/>
          <w:b/>
        </w:rPr>
        <w:t xml:space="preserve">Road Freight Emission Factor (Last-Mile):</w:t>
      </w:r>
      <w:r>
        <w:t xml:space="preserve"> </w:t>
      </w:r>
      <w:r>
        <w:t xml:space="preserve">0.100 kgCO2e/tonne-km (or 100 gCO2e/tkm).</w:t>
      </w:r>
    </w:p>
    <w:bookmarkEnd w:id="32"/>
    <w:bookmarkEnd w:id="33"/>
    <w:bookmarkStart w:id="34" w:name="use-phase-inputs-scope-3-category-11"/>
    <w:p>
      <w:pPr>
        <w:pStyle w:val="Heading3"/>
      </w:pPr>
      <w:r>
        <w:t xml:space="preserve">2.4. Use Phase Inputs (Scope 3, Category 11)</w:t>
      </w:r>
    </w:p>
    <w:p>
      <w:pPr>
        <w:pStyle w:val="FirstParagraph"/>
      </w:pPr>
      <w:r>
        <w:t xml:space="preserve">Durability and energy consumption data for the use phase:</w:t>
      </w:r>
    </w:p>
    <w:p>
      <w:pPr>
        <w:numPr>
          <w:ilvl w:val="0"/>
          <w:numId w:val="1005"/>
        </w:numPr>
        <w:pStyle w:val="Compact"/>
      </w:pPr>
      <w:r>
        <w:rPr>
          <w:bCs/>
          <w:b/>
        </w:rPr>
        <w:t xml:space="preserve">Product Lifespan:</w:t>
      </w:r>
      <w:r>
        <w:t xml:space="preserve"> </w:t>
      </w:r>
      <w:r>
        <w:t xml:space="preserve">jodntdppvq (simulated as 5 years)</w:t>
      </w:r>
    </w:p>
    <w:p>
      <w:pPr>
        <w:numPr>
          <w:ilvl w:val="0"/>
          <w:numId w:val="1005"/>
        </w:numPr>
        <w:pStyle w:val="Compact"/>
      </w:pPr>
      <w:r>
        <w:rPr>
          <w:bCs/>
          <w:b/>
        </w:rPr>
        <w:t xml:space="preserve">Energy Consumption in Use:</w:t>
      </w:r>
      <w:r>
        <w:t xml:space="preserve"> </w:t>
      </w:r>
      <w:r>
        <w:t xml:space="preserve">zwhdtqtnvo (simulated as 10 kWh/year)</w:t>
      </w:r>
    </w:p>
    <w:p>
      <w:pPr>
        <w:numPr>
          <w:ilvl w:val="0"/>
          <w:numId w:val="1005"/>
        </w:numPr>
        <w:pStyle w:val="Compact"/>
      </w:pPr>
      <w:r>
        <w:rPr>
          <w:bCs/>
          <w:b/>
        </w:rPr>
        <w:t xml:space="preserve">Total Energy Consumption (Use Phase):</w:t>
      </w:r>
      <w:r>
        <w:t xml:space="preserve"> </w:t>
      </w:r>
      <w:r>
        <w:t xml:space="preserve">5 years * 10 kWh/year = 50 kWh</w:t>
      </w:r>
    </w:p>
    <w:p>
      <w:pPr>
        <w:numPr>
          <w:ilvl w:val="0"/>
          <w:numId w:val="1005"/>
        </w:numPr>
        <w:pStyle w:val="Compact"/>
      </w:pPr>
      <w:r>
        <w:rPr>
          <w:bCs/>
          <w:b/>
        </w:rPr>
        <w:t xml:space="preserve">Average Europe Grid Emission Factor (Use Phase):</w:t>
      </w:r>
      <w:r>
        <w:t xml:space="preserve"> </w:t>
      </w:r>
      <w:r>
        <w:t xml:space="preserve">0.25 kgCO2e/kWh (representative average for European electricity mix).</w:t>
      </w:r>
    </w:p>
    <w:bookmarkEnd w:id="34"/>
    <w:bookmarkStart w:id="35" w:name="X3261202975bfccb1283f2bd5fabef2dfdbe9c90"/>
    <w:p>
      <w:pPr>
        <w:pStyle w:val="Heading3"/>
      </w:pPr>
      <w:r>
        <w:t xml:space="preserve">2.5. End-of-Life (EoL) Scenarios (Scope 3, Category 12)</w:t>
      </w:r>
    </w:p>
    <w:p>
      <w:pPr>
        <w:pStyle w:val="FirstParagraph"/>
      </w:pPr>
      <w:r>
        <w:t xml:space="preserve">EoL data reflecting circular economy impacts:</w:t>
      </w:r>
    </w:p>
    <w:p>
      <w:pPr>
        <w:numPr>
          <w:ilvl w:val="0"/>
          <w:numId w:val="1006"/>
        </w:numPr>
        <w:pStyle w:val="Compact"/>
      </w:pPr>
      <w:r>
        <w:rPr>
          <w:bCs/>
          <w:b/>
        </w:rPr>
        <w:t xml:space="preserve">Recyclability Percentage:</w:t>
      </w:r>
      <w:r>
        <w:t xml:space="preserve"> </w:t>
      </w:r>
      <w:r>
        <w:t xml:space="preserve">pmiedjlvvv (simulated as 85%)</w:t>
      </w:r>
    </w:p>
    <w:p>
      <w:pPr>
        <w:numPr>
          <w:ilvl w:val="0"/>
          <w:numId w:val="1006"/>
        </w:numPr>
        <w:pStyle w:val="Compact"/>
      </w:pPr>
      <w:r>
        <w:rPr>
          <w:bCs/>
          <w:b/>
        </w:rPr>
        <w:t xml:space="preserve">Non-recyclable Portion:</w:t>
      </w:r>
      <w:r>
        <w:t xml:space="preserve"> </w:t>
      </w:r>
      <w:r>
        <w:t xml:space="preserve">15% (1.0 kg * 0.15 = 0.15 kg)</w:t>
      </w:r>
    </w:p>
    <w:p>
      <w:pPr>
        <w:numPr>
          <w:ilvl w:val="0"/>
          <w:numId w:val="1006"/>
        </w:numPr>
        <w:pStyle w:val="Compact"/>
      </w:pPr>
      <w:r>
        <w:rPr>
          <w:bCs/>
          <w:b/>
        </w:rPr>
        <w:t xml:space="preserve">Recyclable Portion:</w:t>
      </w:r>
      <w:r>
        <w:t xml:space="preserve"> </w:t>
      </w:r>
      <w:r>
        <w:t xml:space="preserve">85% (1.0 kg * 0.85 = 0.85 kg)</w:t>
      </w:r>
    </w:p>
    <w:p>
      <w:pPr>
        <w:numPr>
          <w:ilvl w:val="0"/>
          <w:numId w:val="1006"/>
        </w:numPr>
        <w:pStyle w:val="Compact"/>
      </w:pPr>
      <w:r>
        <w:rPr>
          <w:bCs/>
          <w:b/>
        </w:rPr>
        <w:t xml:space="preserve">Circular/Take-back Programs:</w:t>
      </w:r>
      <w:r>
        <w:t xml:space="preserve"> </w:t>
      </w:r>
      <w:r>
        <w:t xml:space="preserve">msxguqlutx (Company has established a robust take-back program for end-of-life products, promoting material recovery and refurbishment.)</w:t>
      </w:r>
    </w:p>
    <w:p>
      <w:pPr>
        <w:numPr>
          <w:ilvl w:val="0"/>
          <w:numId w:val="1006"/>
        </w:numPr>
        <w:pStyle w:val="Compact"/>
      </w:pPr>
      <w:r>
        <w:rPr>
          <w:bCs/>
          <w:b/>
        </w:rPr>
        <w:t xml:space="preserve">Recycling Process Emission Factor:</w:t>
      </w:r>
      <w:r>
        <w:t xml:space="preserve"> </w:t>
      </w:r>
      <w:r>
        <w:t xml:space="preserve">0.2 kgCO2e/kg (generic for collection, sorting, and initial processing of mixed recyclables. Copper wire recycling process factor is approximately 0.198 kgCO2e/kg).</w:t>
      </w:r>
    </w:p>
    <w:p>
      <w:pPr>
        <w:numPr>
          <w:ilvl w:val="0"/>
          <w:numId w:val="1006"/>
        </w:numPr>
        <w:pStyle w:val="Compact"/>
      </w:pPr>
      <w:r>
        <w:rPr>
          <w:bCs/>
          <w:b/>
        </w:rPr>
        <w:t xml:space="preserve">Disposal (Landfill/Incineration) Emission Factor:</w:t>
      </w:r>
      <w:r>
        <w:t xml:space="preserve"> </w:t>
      </w:r>
      <w:r>
        <w:t xml:space="preserve">0.1 kgCO2e/kg (generic for residual waste treatment. Copper wire combustion is approx. 0.011 kgCO2e/kg).</w:t>
      </w:r>
    </w:p>
    <w:p>
      <w:r>
        <w:pict>
          <v:rect style="width:0;height:1.5pt" o:hralign="center" o:hrstd="t" o:hr="t"/>
        </w:pict>
      </w:r>
    </w:p>
    <w:bookmarkEnd w:id="35"/>
    <w:bookmarkEnd w:id="36"/>
    <w:bookmarkStart w:id="47" w:name="emission-calculation"/>
    <w:p>
      <w:pPr>
        <w:pStyle w:val="Heading2"/>
      </w:pPr>
      <w:r>
        <w:t xml:space="preserve">4. Emission Calculation</w:t>
      </w:r>
    </w:p>
    <w:p>
      <w:pPr>
        <w:pStyle w:val="FirstParagraph"/>
      </w:pPr>
      <w:r>
        <w:t xml:space="preserve">Emissions are calculated using the activity data multiplied by appropriate emission factors, categorized by GHG Protocol scopes. All calculations use 100-year Global Warming Potential (GWP) values to convert non-CO2 GHGs to CO2e, where applicable, and are presented in kgCO2e.</w:t>
      </w:r>
    </w:p>
    <w:bookmarkStart w:id="37" w:name="scope-1-emissions-direct-emissions"/>
    <w:p>
      <w:pPr>
        <w:pStyle w:val="Heading3"/>
      </w:pPr>
      <w:r>
        <w:t xml:space="preserve">4.1. Scope 1 Emissions (Direct Emissions)</w:t>
      </w:r>
    </w:p>
    <w:p>
      <w:pPr>
        <w:pStyle w:val="FirstParagraph"/>
      </w:pPr>
      <w:r>
        <w:t xml:space="preserve">These are direct emissions from sources owned or controlled by \'wesgrsdhjw\' during the manufacturing of \'jivxniphtr\'. For this product, direct on-site fuel combustion or process emissions are assumed to be negligible without specific operational data.</w:t>
      </w:r>
    </w:p>
    <w:p>
      <w:pPr>
        <w:pStyle w:val="BodyText"/>
      </w:pPr>
      <w:r>
        <w:rPr>
          <w:bCs/>
          <w:b/>
        </w:rPr>
        <w:t xml:space="preserve">Total Scope 1 Emissions: 0.00 kgCO2e</w:t>
      </w:r>
    </w:p>
    <w:bookmarkEnd w:id="37"/>
    <w:bookmarkStart w:id="38" w:name="scope-2-emissions-purchased-energy"/>
    <w:p>
      <w:pPr>
        <w:pStyle w:val="Heading3"/>
      </w:pPr>
      <w:r>
        <w:t xml:space="preserve">4.2. Scope 2 Emissions (Purchased Energy)</w:t>
      </w:r>
    </w:p>
    <w:p>
      <w:pPr>
        <w:pStyle w:val="FirstParagraph"/>
      </w:pPr>
      <w:r>
        <w:t xml:space="preserve">These are indirect emissions from the generation of purchased electricity consumed by \'wesgrsdhjw\' for manufacturing \'jivxniphtr\'.</w:t>
      </w:r>
    </w:p>
    <w:p>
      <w:pPr>
        <w:numPr>
          <w:ilvl w:val="0"/>
          <w:numId w:val="1007"/>
        </w:numPr>
        <w:pStyle w:val="Compact"/>
      </w:pPr>
      <w:r>
        <w:t xml:space="preserve">Non-renewable electricity consumption: 3.75 kWh</w:t>
      </w:r>
    </w:p>
    <w:p>
      <w:pPr>
        <w:numPr>
          <w:ilvl w:val="0"/>
          <w:numId w:val="1007"/>
        </w:numPr>
        <w:pStyle w:val="Compact"/>
      </w:pPr>
      <w:r>
        <w:t xml:space="preserve">China Grid Emission Factor: 0.57 kgCO2e/kWh</w:t>
      </w:r>
    </w:p>
    <w:p>
      <w:pPr>
        <w:numPr>
          <w:ilvl w:val="0"/>
          <w:numId w:val="1007"/>
        </w:numPr>
        <w:pStyle w:val="Compact"/>
      </w:pPr>
      <w:r>
        <w:t xml:space="preserve">Emissions from non-renewable electricity: 3.75 kWh * 0.57 kgCO2e/kWh = 2.1375 kgCO2e</w:t>
      </w:r>
    </w:p>
    <w:p>
      <w:pPr>
        <w:numPr>
          <w:ilvl w:val="0"/>
          <w:numId w:val="1007"/>
        </w:numPr>
        <w:pStyle w:val="Compact"/>
      </w:pPr>
      <w:r>
        <w:t xml:space="preserve">Renewable electricity consumption: 11.25 kWh</w:t>
      </w:r>
    </w:p>
    <w:p>
      <w:pPr>
        <w:numPr>
          <w:ilvl w:val="0"/>
          <w:numId w:val="1007"/>
        </w:numPr>
        <w:pStyle w:val="Compact"/>
      </w:pPr>
      <w:r>
        <w:t xml:space="preserve">Renewable Energy Emission Factor: 0 kgCO2e/kWh</w:t>
      </w:r>
    </w:p>
    <w:p>
      <w:pPr>
        <w:numPr>
          <w:ilvl w:val="0"/>
          <w:numId w:val="1007"/>
        </w:numPr>
        <w:pStyle w:val="Compact"/>
      </w:pPr>
      <w:r>
        <w:t xml:space="preserve">Emissions from renewable electricity: 11.25 kWh * 0 kgCO2e/kWh = 0.00 kgCO2e</w:t>
      </w:r>
    </w:p>
    <w:p>
      <w:pPr>
        <w:pStyle w:val="FirstParagraph"/>
      </w:pPr>
      <w:r>
        <w:rPr>
          <w:bCs/>
          <w:b/>
        </w:rPr>
        <w:t xml:space="preserve">Total Scope 2 Emissions: 2.14 kgCO2e</w:t>
      </w:r>
    </w:p>
    <w:bookmarkEnd w:id="38"/>
    <w:bookmarkStart w:id="45" w:name="scope-3-emissions-value-chain-emissions"/>
    <w:p>
      <w:pPr>
        <w:pStyle w:val="Heading3"/>
      </w:pPr>
      <w:r>
        <w:t xml:space="preserve">4.3. Scope 3 Emissions (Value Chain Emissions)</w:t>
      </w:r>
    </w:p>
    <w:p>
      <w:pPr>
        <w:pStyle w:val="FirstParagraph"/>
      </w:pPr>
      <w:r>
        <w:t xml:space="preserve">Scope 3 emissions cover all other indirect emissions that occur in the value chain of \'wesgrsdhjw\'. This analysis aims for at least 95% coverage as per 2026 requirements.</w:t>
      </w:r>
    </w:p>
    <w:bookmarkStart w:id="39" w:name="purchased-goods-and-services-category-1"/>
    <w:p>
      <w:pPr>
        <w:pStyle w:val="Heading4"/>
      </w:pPr>
      <w:r>
        <w:t xml:space="preserve">4.3.1. Purchased Goods and Services (Category 1)</w:t>
      </w:r>
    </w:p>
    <w:p>
      <w:pPr>
        <w:pStyle w:val="FirstParagraph"/>
      </w:pPr>
      <w:r>
        <w:t xml:space="preserve">Emissions from the extraction, production, and transportation of purchased raw materials and components for \'jivxniphtr\'. This includes the cradle-to-gate impact of all items in the Bill of Materials.</w:t>
      </w:r>
    </w:p>
    <w:p>
      <w:pPr>
        <w:pStyle w:val="BodyText"/>
      </w:pPr>
      <w:r>
        <w:rPr>
          <w:bCs/>
          <w:b/>
        </w:rPr>
        <w:t xml:space="preserve">Total Emissions (Materials): 10.75 kgCO2e</w:t>
      </w:r>
    </w:p>
    <w:bookmarkEnd w:id="39"/>
    <w:bookmarkStart w:id="40" w:name="X1ba14597aa58affb2f1bc7a69940c64f4addd9d"/>
    <w:p>
      <w:pPr>
        <w:pStyle w:val="Heading4"/>
      </w:pPr>
      <w:r>
        <w:t xml:space="preserve">4.3.2. Upstream Transportation and Distribution (Category 4)</w:t>
      </w:r>
    </w:p>
    <w:p>
      <w:pPr>
        <w:pStyle w:val="FirstParagraph"/>
      </w:pPr>
      <w:r>
        <w:t xml:space="preserve">Emissions from the transportation of materials and components from suppliers to the manufacturing facility.</w:t>
      </w:r>
    </w:p>
    <w:p>
      <w:pPr>
        <w:numPr>
          <w:ilvl w:val="0"/>
          <w:numId w:val="1008"/>
        </w:numPr>
        <w:pStyle w:val="Compact"/>
      </w:pPr>
      <w:r>
        <w:t xml:space="preserve">Approx. Total Material Weight: 1.0 kg (0.001 tonnes)</w:t>
      </w:r>
    </w:p>
    <w:p>
      <w:pPr>
        <w:numPr>
          <w:ilvl w:val="0"/>
          <w:numId w:val="1008"/>
        </w:numPr>
        <w:pStyle w:val="Compact"/>
      </w:pPr>
      <w:r>
        <w:t xml:space="preserve">Estimated Average Inbound Distance: 1000 km</w:t>
      </w:r>
    </w:p>
    <w:p>
      <w:pPr>
        <w:numPr>
          <w:ilvl w:val="0"/>
          <w:numId w:val="1008"/>
        </w:numPr>
        <w:pStyle w:val="Compact"/>
      </w:pPr>
      <w:r>
        <w:t xml:space="preserve">Road Freight Emission Factor: 0.100 kgCO2e/tonne-km</w:t>
      </w:r>
    </w:p>
    <w:p>
      <w:pPr>
        <w:numPr>
          <w:ilvl w:val="0"/>
          <w:numId w:val="1008"/>
        </w:numPr>
        <w:pStyle w:val="Compact"/>
      </w:pPr>
      <w:r>
        <w:t xml:space="preserve">Emissions: 0.001 tonnes * 1000 km * 0.100 kgCO2e/tonne-km = 0.100 kgCO2e</w:t>
      </w:r>
    </w:p>
    <w:p>
      <w:pPr>
        <w:pStyle w:val="FirstParagraph"/>
      </w:pPr>
      <w:r>
        <w:rPr>
          <w:bCs/>
          <w:b/>
        </w:rPr>
        <w:t xml:space="preserve">Total Emissions (Upstream Transport): 0.10 kgCO2e</w:t>
      </w:r>
    </w:p>
    <w:bookmarkEnd w:id="40"/>
    <w:bookmarkStart w:id="41" w:name="X4a4e8e3b229fc696037344f6caf20042bf5cbd8"/>
    <w:p>
      <w:pPr>
        <w:pStyle w:val="Heading4"/>
      </w:pPr>
      <w:r>
        <w:t xml:space="preserve">4.3.3. Downstream Transportation and Distribution (Category 9)</w:t>
      </w:r>
    </w:p>
    <w:p>
      <w:pPr>
        <w:pStyle w:val="FirstParagraph"/>
      </w:pPr>
      <w:r>
        <w:t xml:space="preserve">Emissions from the transportation and distribution of the \'jivxniphtr\' from the manufacturing facility to the end-customer.</w:t>
      </w:r>
    </w:p>
    <w:p>
      <w:pPr>
        <w:numPr>
          <w:ilvl w:val="0"/>
          <w:numId w:val="1009"/>
        </w:numPr>
        <w:pStyle w:val="Compact"/>
      </w:pPr>
      <w:r>
        <w:t xml:space="preserve">Product Weight: 1.0 kg (0.001 tonnes)</w:t>
      </w:r>
    </w:p>
    <w:p>
      <w:pPr>
        <w:numPr>
          <w:ilvl w:val="0"/>
          <w:numId w:val="1009"/>
        </w:numPr>
        <w:pStyle w:val="Compact"/>
      </w:pPr>
      <w:r>
        <w:t xml:space="preserve">Main Transport (Ocean Freight, China to Europe):</w:t>
      </w:r>
    </w:p>
    <w:p>
      <w:pPr>
        <w:numPr>
          <w:ilvl w:val="0"/>
          <w:numId w:val="1009"/>
        </w:numPr>
        <w:pStyle w:val="Compact"/>
      </w:pPr>
      <w:r>
        <w:t xml:space="preserve">Distance: 8000 km</w:t>
      </w:r>
    </w:p>
    <w:p>
      <w:pPr>
        <w:numPr>
          <w:ilvl w:val="0"/>
          <w:numId w:val="1009"/>
        </w:numPr>
        <w:pStyle w:val="Compact"/>
      </w:pPr>
      <w:r>
        <w:t xml:space="preserve">Ocean Freight Emission Factor: 0.016 kgCO2e/tonne-km</w:t>
      </w:r>
    </w:p>
    <w:p>
      <w:pPr>
        <w:numPr>
          <w:ilvl w:val="0"/>
          <w:numId w:val="1009"/>
        </w:numPr>
        <w:pStyle w:val="Compact"/>
      </w:pPr>
      <w:r>
        <w:t xml:space="preserve">Emissions: 0.001 tonnes * 8000 km * 0.016 kgCO2e/tonne-km = 0.128 kgCO2e</w:t>
      </w:r>
    </w:p>
    <w:p>
      <w:pPr>
        <w:numPr>
          <w:ilvl w:val="0"/>
          <w:numId w:val="1009"/>
        </w:numPr>
        <w:pStyle w:val="Compact"/>
      </w:pPr>
      <w:r>
        <w:t xml:space="preserve">Last-Mile Delivery (Road Freight, within Europe):</w:t>
      </w:r>
    </w:p>
    <w:p>
      <w:pPr>
        <w:numPr>
          <w:ilvl w:val="0"/>
          <w:numId w:val="1009"/>
        </w:numPr>
        <w:pStyle w:val="Compact"/>
      </w:pPr>
      <w:r>
        <w:t xml:space="preserve">Distance: 500 km</w:t>
      </w:r>
    </w:p>
    <w:p>
      <w:pPr>
        <w:numPr>
          <w:ilvl w:val="0"/>
          <w:numId w:val="1009"/>
        </w:numPr>
        <w:pStyle w:val="Compact"/>
      </w:pPr>
      <w:r>
        <w:t xml:space="preserve">Road Freight Emission Factor: 0.100 kgCO2e/tonne-km</w:t>
      </w:r>
    </w:p>
    <w:p>
      <w:pPr>
        <w:numPr>
          <w:ilvl w:val="0"/>
          <w:numId w:val="1009"/>
        </w:numPr>
        <w:pStyle w:val="Compact"/>
      </w:pPr>
      <w:r>
        <w:t xml:space="preserve">Emissions: 0.001 tonnes * 500 km * 0.100 kgCO2e/tonne-km = 0.050 kgCO2e</w:t>
      </w:r>
    </w:p>
    <w:p>
      <w:pPr>
        <w:pStyle w:val="FirstParagraph"/>
      </w:pPr>
      <w:r>
        <w:rPr>
          <w:bCs/>
          <w:b/>
        </w:rPr>
        <w:t xml:space="preserve">Total Emissions (Downstream Transport): 0.18 kgCO2e</w:t>
      </w:r>
    </w:p>
    <w:bookmarkEnd w:id="41"/>
    <w:bookmarkStart w:id="42" w:name="use-of-sold-products-category-11"/>
    <w:p>
      <w:pPr>
        <w:pStyle w:val="Heading4"/>
      </w:pPr>
      <w:r>
        <w:t xml:space="preserve">4.3.4. Use of Sold Products (Category 11)</w:t>
      </w:r>
    </w:p>
    <w:p>
      <w:pPr>
        <w:pStyle w:val="FirstParagraph"/>
      </w:pPr>
      <w:r>
        <w:t xml:space="preserve">Emissions from the energy consumed by the \'jivxniphtr\' during its 5-year operational lifespan by the end-user in Europe.</w:t>
      </w:r>
    </w:p>
    <w:p>
      <w:pPr>
        <w:numPr>
          <w:ilvl w:val="0"/>
          <w:numId w:val="1010"/>
        </w:numPr>
        <w:pStyle w:val="Compact"/>
      </w:pPr>
      <w:r>
        <w:t xml:space="preserve">Total Energy Consumption: 50 kWh</w:t>
      </w:r>
    </w:p>
    <w:p>
      <w:pPr>
        <w:numPr>
          <w:ilvl w:val="0"/>
          <w:numId w:val="1010"/>
        </w:numPr>
        <w:pStyle w:val="Compact"/>
      </w:pPr>
      <w:r>
        <w:t xml:space="preserve">Average Europe Grid Emission Factor: 0.25 kgCO2e/kWh</w:t>
      </w:r>
    </w:p>
    <w:p>
      <w:pPr>
        <w:numPr>
          <w:ilvl w:val="0"/>
          <w:numId w:val="1010"/>
        </w:numPr>
        <w:pStyle w:val="Compact"/>
      </w:pPr>
      <w:r>
        <w:t xml:space="preserve">Emissions: 50 kWh * 0.25 kgCO2e/kWh = 12.50 kgCO2e</w:t>
      </w:r>
    </w:p>
    <w:p>
      <w:pPr>
        <w:pStyle w:val="FirstParagraph"/>
      </w:pPr>
      <w:r>
        <w:rPr>
          <w:bCs/>
          <w:b/>
        </w:rPr>
        <w:t xml:space="preserve">Total Emissions (Use Phase): 12.50 kgCO2e</w:t>
      </w:r>
    </w:p>
    <w:bookmarkEnd w:id="42"/>
    <w:bookmarkStart w:id="43" w:name="X7eecd0528a4129578e12f0f82acdf78ed4201e7"/>
    <w:p>
      <w:pPr>
        <w:pStyle w:val="Heading4"/>
      </w:pPr>
      <w:r>
        <w:t xml:space="preserve">4.3.5. End-of-Life Treatment of Sold Products (Category 12)</w:t>
      </w:r>
    </w:p>
    <w:p>
      <w:pPr>
        <w:pStyle w:val="FirstParagraph"/>
      </w:pPr>
      <w:r>
        <w:t xml:space="preserve">Emissions associated with the disposal and recycling processes at the end of the product\'s life. Following GHG Protocol guidance, avoided emissions from recycling are discussed qualitatively rather than deducted from the inventory total.</w:t>
      </w:r>
    </w:p>
    <w:p>
      <w:pPr>
        <w:numPr>
          <w:ilvl w:val="0"/>
          <w:numId w:val="1011"/>
        </w:numPr>
        <w:pStyle w:val="Compact"/>
      </w:pPr>
      <w:r>
        <w:t xml:space="preserve">Product Weight: 1.0 kg</w:t>
      </w:r>
    </w:p>
    <w:p>
      <w:pPr>
        <w:numPr>
          <w:ilvl w:val="0"/>
          <w:numId w:val="1011"/>
        </w:numPr>
        <w:pStyle w:val="Compact"/>
      </w:pPr>
      <w:r>
        <w:t xml:space="preserve">Recyclable Portion (85%): 0.85 kg</w:t>
      </w:r>
    </w:p>
    <w:p>
      <w:pPr>
        <w:numPr>
          <w:ilvl w:val="0"/>
          <w:numId w:val="1011"/>
        </w:numPr>
        <w:pStyle w:val="Compact"/>
      </w:pPr>
      <w:r>
        <w:t xml:space="preserve">Recycling Process Emissions: 0.85 kg * 0.2 kgCO2e/kg = 0.170 kgCO2e</w:t>
      </w:r>
    </w:p>
    <w:p>
      <w:pPr>
        <w:numPr>
          <w:ilvl w:val="0"/>
          <w:numId w:val="1011"/>
        </w:numPr>
        <w:pStyle w:val="Compact"/>
      </w:pPr>
      <w:r>
        <w:t xml:space="preserve">Disposed Portion (15%): 0.15 kg</w:t>
      </w:r>
    </w:p>
    <w:p>
      <w:pPr>
        <w:numPr>
          <w:ilvl w:val="0"/>
          <w:numId w:val="1011"/>
        </w:numPr>
        <w:pStyle w:val="Compact"/>
      </w:pPr>
      <w:r>
        <w:t xml:space="preserve">Disposal Process Emissions: 0.15 kg * 0.1 kgCO2e/kg = 0.015 kgCO2e</w:t>
      </w:r>
    </w:p>
    <w:p>
      <w:pPr>
        <w:pStyle w:val="FirstParagraph"/>
      </w:pPr>
      <w:r>
        <w:rPr>
          <w:bCs/>
          <w:b/>
        </w:rPr>
        <w:t xml:space="preserve">Total Emissions (End-of-Life Treatment): 0.19 kgCO2e</w:t>
      </w:r>
    </w:p>
    <w:bookmarkEnd w:id="43"/>
    <w:bookmarkStart w:id="44" w:name="summary-of-scope-3-emissions"/>
    <w:p>
      <w:pPr>
        <w:pStyle w:val="Heading4"/>
      </w:pPr>
      <w:r>
        <w:t xml:space="preserve">Summary of Scope 3 Emissions</w:t>
      </w:r>
    </w:p>
    <w:p>
      <w:pPr>
        <w:pStyle w:val="FirstParagraph"/>
      </w:pPr>
      <w:r>
        <w:rPr>
          <w:bCs/>
          <w:b/>
        </w:rPr>
        <w:t xml:space="preserve">Total Scope 3 Emissions:</w:t>
      </w:r>
      <w:r>
        <w:t xml:space="preserve"> </w:t>
      </w:r>
      <w:r>
        <w:t xml:space="preserve">10.75 (Purchased Goods) + 0.10 (Upstream Transport) + 0.18 (Downstream Transport) + 12.50 (Use Phase) + 0.19 (EoL Treatment) =</w:t>
      </w:r>
      <w:r>
        <w:t xml:space="preserve"> </w:t>
      </w:r>
      <w:r>
        <w:rPr>
          <w:bCs/>
          <w:b/>
        </w:rPr>
        <w:t xml:space="preserve">23.72 kgCO2e</w:t>
      </w:r>
    </w:p>
    <w:bookmarkEnd w:id="44"/>
    <w:bookmarkEnd w:id="45"/>
    <w:bookmarkStart w:id="46" w:name="total-product-carbon-footprint"/>
    <w:p>
      <w:pPr>
        <w:pStyle w:val="Heading3"/>
      </w:pPr>
      <w:r>
        <w:t xml:space="preserve">4.4. Total Product Carbon Footprint</w:t>
      </w:r>
    </w:p>
    <w:p>
      <w:pPr>
        <w:pStyle w:val="FirstParagraph"/>
      </w:pPr>
      <w:r>
        <w:t xml:space="preserve">Summation of all calculated emissions across the Cradle-to-Grave life cycle.</w:t>
      </w:r>
    </w:p>
    <w:p>
      <w:pPr>
        <w:numPr>
          <w:ilvl w:val="0"/>
          <w:numId w:val="1012"/>
        </w:numPr>
        <w:pStyle w:val="Compact"/>
      </w:pPr>
      <w:r>
        <w:t xml:space="preserve">Scope 1 Emissions: 0.00 kgCO2e</w:t>
      </w:r>
    </w:p>
    <w:p>
      <w:pPr>
        <w:numPr>
          <w:ilvl w:val="0"/>
          <w:numId w:val="1012"/>
        </w:numPr>
        <w:pStyle w:val="Compact"/>
      </w:pPr>
      <w:r>
        <w:t xml:space="preserve">Scope 2 Emissions: 2.14 kgCO2e</w:t>
      </w:r>
    </w:p>
    <w:p>
      <w:pPr>
        <w:numPr>
          <w:ilvl w:val="0"/>
          <w:numId w:val="1012"/>
        </w:numPr>
        <w:pStyle w:val="Compact"/>
      </w:pPr>
      <w:r>
        <w:t xml:space="preserve">Scope 3 Emissions: 23.72 kgCO2e</w:t>
      </w:r>
    </w:p>
    <w:p>
      <w:pPr>
        <w:pStyle w:val="FirstParagraph"/>
      </w:pPr>
      <w:r>
        <w:rPr>
          <w:bCs/>
          <w:b/>
        </w:rPr>
        <w:t xml:space="preserve">Grand Total PCF for 1.0 unit of jivxniphtr: 25.86 kgCO2e</w:t>
      </w:r>
    </w:p>
    <w:p>
      <w:r>
        <w:pict>
          <v:rect style="width:0;height:1.5pt" o:hralign="center" o:hrstd="t" o:hr="t"/>
        </w:pict>
      </w:r>
    </w:p>
    <w:bookmarkEnd w:id="46"/>
    <w:bookmarkEnd w:id="47"/>
    <w:bookmarkStart w:id="52"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reveals the following major emission hotspots for \'jivxniphtr\':</w:t>
      </w:r>
    </w:p>
    <w:p>
      <w:pPr>
        <w:numPr>
          <w:ilvl w:val="0"/>
          <w:numId w:val="1013"/>
        </w:numPr>
        <w:pStyle w:val="Compact"/>
      </w:pPr>
      <w:r>
        <w:rPr>
          <w:bCs/>
          <w:b/>
        </w:rPr>
        <w:t xml:space="preserve">Use Phase (12.50 kgCO2e, 48% of total):</w:t>
      </w:r>
      <w:r>
        <w:t xml:space="preserve"> </w:t>
      </w:r>
      <w:r>
        <w:t xml:space="preserve">The largest contributor due to the product\'s energy consumption over its 5-year lifespan. This highlights the critical importance of energy efficiency during product design and user education for sustainable use.</w:t>
      </w:r>
    </w:p>
    <w:p>
      <w:pPr>
        <w:numPr>
          <w:ilvl w:val="0"/>
          <w:numId w:val="1013"/>
        </w:numPr>
        <w:pStyle w:val="Compact"/>
      </w:pPr>
      <w:r>
        <w:rPr>
          <w:bCs/>
          <w:b/>
        </w:rPr>
        <w:t xml:space="preserve">Purchased Goods and Services (10.75 kgCO2e, 42% of total):</w:t>
      </w:r>
      <w:r>
        <w:t xml:space="preserve"> </w:t>
      </w:r>
      <w:r>
        <w:t xml:space="preserve">The second largest hotspot, driven by the embodied emissions in raw materials and components, particularly aluminum, electronics, and the battery. Material selection, recycled content, and supplier engagement are key levers here.</w:t>
      </w:r>
    </w:p>
    <w:p>
      <w:pPr>
        <w:numPr>
          <w:ilvl w:val="0"/>
          <w:numId w:val="1013"/>
        </w:numPr>
        <w:pStyle w:val="Compact"/>
      </w:pPr>
      <w:r>
        <w:rPr>
          <w:bCs/>
          <w:b/>
        </w:rPr>
        <w:t xml:space="preserve">Manufacturing (Scope 2) (2.14 kgCO2e, 8% of total):</w:t>
      </w:r>
      <w:r>
        <w:t xml:space="preserve"> </w:t>
      </w:r>
      <w:r>
        <w:t xml:space="preserve">While significant, \'wesgrsdhjw\' has mitigated this impact through 75% renewable energy usage. Further decarbonization of the remaining 25% non-renewable electricity offers additional reduction potential.</w:t>
      </w:r>
    </w:p>
    <w:p>
      <w:pPr>
        <w:numPr>
          <w:ilvl w:val="0"/>
          <w:numId w:val="1013"/>
        </w:numPr>
        <w:pStyle w:val="Compact"/>
      </w:pPr>
      <w:r>
        <w:rPr>
          <w:bCs/>
          <w:b/>
        </w:rPr>
        <w:t xml:space="preserve">Transportation (Upstream &amp; Downstream) (0.28 kgCO2e, 1% of total):</w:t>
      </w:r>
      <w:r>
        <w:t xml:space="preserve"> </w:t>
      </w:r>
      <w:r>
        <w:t xml:space="preserve">Relatively small compared to other phases but can be optimized through efficient logistics, mode shifts (e.g., rail where feasible), and increasing load factors.</w:t>
      </w:r>
    </w:p>
    <w:p>
      <w:pPr>
        <w:numPr>
          <w:ilvl w:val="0"/>
          <w:numId w:val="1013"/>
        </w:numPr>
        <w:pStyle w:val="Compact"/>
      </w:pPr>
      <w:r>
        <w:rPr>
          <w:bCs/>
          <w:b/>
        </w:rPr>
        <w:t xml:space="preserve">End-of-Life Treatment (0.19 kgCO2e, &lt;1% of total):</w:t>
      </w:r>
      <w:r>
        <w:t xml:space="preserve"> </w:t>
      </w:r>
      <w:r>
        <w:t xml:space="preserve">The emissions from the treatment processes are low, and the high recyclability percentage indicates a positive contribution to the circular economy.</w:t>
      </w:r>
    </w:p>
    <w:p>
      <w:r>
        <w:pict>
          <v:rect style="width:0;height:1.5pt" o:hralign="center" o:hrstd="t" o:hr="t"/>
        </w:pict>
      </w:r>
    </w:p>
    <w:p>
      <w:pPr>
        <w:pStyle w:val="FirstParagraph"/>
      </w:pPr>
      <w:r>
        <w:t xml:space="preserve">The following table summarizes the Product Carbon Footprint by lifecycle stage and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Raw Material Acquisition (Purchased Goods)</w:t>
            </w:r>
          </w:p>
        </w:tc>
        <w:tc>
          <w:tcPr/>
          <w:p>
            <w:pPr>
              <w:pStyle w:val="Compact"/>
              <w:jc w:val="left"/>
            </w:pPr>
            <w:r>
              <w:t xml:space="preserve">Scope 3 (Category 1)</w:t>
            </w:r>
          </w:p>
        </w:tc>
        <w:tc>
          <w:tcPr/>
          <w:p>
            <w:pPr>
              <w:pStyle w:val="Compact"/>
              <w:jc w:val="left"/>
            </w:pPr>
            <w:r>
              <w:t xml:space="preserve">10.75</w:t>
            </w:r>
          </w:p>
        </w:tc>
        <w:tc>
          <w:tcPr/>
          <w:p>
            <w:pPr>
              <w:pStyle w:val="Compact"/>
              <w:jc w:val="left"/>
            </w:pPr>
            <w:r>
              <w:t xml:space="preserve">41.57%</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0.10</w:t>
            </w:r>
          </w:p>
        </w:tc>
        <w:tc>
          <w:tcPr/>
          <w:p>
            <w:pPr>
              <w:pStyle w:val="Compact"/>
              <w:jc w:val="left"/>
            </w:pPr>
            <w:r>
              <w:t xml:space="preserve">0.39%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2.14</w:t>
            </w:r>
          </w:p>
        </w:tc>
        <w:tc>
          <w:tcPr/>
          <w:p>
            <w:pPr>
              <w:pStyle w:val="Compact"/>
              <w:jc w:val="left"/>
            </w:pPr>
            <w:r>
              <w:t xml:space="preserve">8.27%</w:t>
            </w:r>
          </w:p>
        </w:tc>
      </w:tr>
      <w:tr>
        <w:tc>
          <w:tcPr/>
          <w:p>
            <w:pPr>
              <w:pStyle w:val="Compact"/>
              <w:jc w:val="left"/>
            </w:pPr>
            <w:r>
              <w:t xml:space="preserve">Downstream Transport</w:t>
            </w:r>
          </w:p>
        </w:tc>
        <w:tc>
          <w:tcPr/>
          <w:p>
            <w:pPr>
              <w:pStyle w:val="Compact"/>
              <w:jc w:val="left"/>
            </w:pPr>
            <w:r>
              <w:t xml:space="preserve">Scope 3 (Category 9)</w:t>
            </w:r>
          </w:p>
        </w:tc>
        <w:tc>
          <w:tcPr/>
          <w:p>
            <w:pPr>
              <w:pStyle w:val="Compact"/>
              <w:jc w:val="left"/>
            </w:pPr>
            <w:r>
              <w:t xml:space="preserve">0.18</w:t>
            </w:r>
          </w:p>
        </w:tc>
        <w:tc>
          <w:tcPr/>
          <w:p>
            <w:pPr>
              <w:pStyle w:val="Compact"/>
              <w:jc w:val="left"/>
            </w:pPr>
            <w:r>
              <w:t xml:space="preserve">0.70%</w:t>
            </w:r>
          </w:p>
        </w:tc>
      </w:tr>
      <w:tr>
        <w:tc>
          <w:tcPr/>
          <w:p>
            <w:pPr>
              <w:pStyle w:val="Compact"/>
              <w:jc w:val="left"/>
            </w:pPr>
            <w:r>
              <w:t xml:space="preserve">Product Use</w:t>
            </w:r>
          </w:p>
        </w:tc>
        <w:tc>
          <w:tcPr/>
          <w:p>
            <w:pPr>
              <w:pStyle w:val="Compact"/>
              <w:jc w:val="left"/>
            </w:pPr>
            <w:r>
              <w:t xml:space="preserve">Scope 3 (Category 11)</w:t>
            </w:r>
          </w:p>
        </w:tc>
        <w:tc>
          <w:tcPr/>
          <w:p>
            <w:pPr>
              <w:pStyle w:val="Compact"/>
              <w:jc w:val="left"/>
            </w:pPr>
            <w:r>
              <w:t xml:space="preserve">12.50</w:t>
            </w:r>
          </w:p>
        </w:tc>
        <w:tc>
          <w:tcPr/>
          <w:p>
            <w:pPr>
              <w:pStyle w:val="Compact"/>
              <w:jc w:val="left"/>
            </w:pPr>
            <w:r>
              <w:t xml:space="preserve">48.34%</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0.19</w:t>
            </w:r>
          </w:p>
        </w:tc>
        <w:tc>
          <w:tcPr/>
          <w:p>
            <w:pPr>
              <w:pStyle w:val="Compact"/>
              <w:jc w:val="left"/>
            </w:pPr>
            <w:r>
              <w:t xml:space="preserve">0.73%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25.86</w:t>
            </w:r>
          </w:p>
        </w:tc>
        <w:tc>
          <w:tcPr/>
          <w:p>
            <w:pPr>
              <w:pStyle w:val="Compact"/>
              <w:jc w:val="left"/>
            </w:pPr>
            <w:r>
              <w:rPr>
                <w:bCs/>
                <w:b/>
              </w:rPr>
              <w:t xml:space="preserve">100.00%</w:t>
            </w:r>
          </w:p>
        </w:tc>
      </w:tr>
    </w:tbl>
    <w:bookmarkEnd w:id="48"/>
    <w:bookmarkStart w:id="49" w:name="reliability-and-data-quality"/>
    <w:p>
      <w:pPr>
        <w:pStyle w:val="Heading3"/>
      </w:pPr>
      <w:r>
        <w:t xml:space="preserve">5.2. Reliability and Data Quality</w:t>
      </w:r>
    </w:p>
    <w:p>
      <w:pPr>
        <w:pStyle w:val="FirstParagraph"/>
      </w:pPr>
      <w:r>
        <w:t xml:space="preserve">The calculations are based on a combination of primary data (for BOM details, energy usage percentages, lifespan, consumption) and secondary data (industry-average emission factors for materials, transport, and energy grids). While specific emission factors from Ecoinvent/DEFRA were approximated based on typical values for the listed materials and processes, they are considered representative for a high-detail PCF analysis. Data quality for upstream processes relies on the accuracy of the provided BOM \'Total Carbon\' values, assumed to be robust cradle-to-gate figures. The geographic specificities for production (China) and use/EoL (Europe) are accounted for through relevant regional grid mix factors.</w:t>
      </w:r>
    </w:p>
    <w:p>
      <w:pPr>
        <w:pStyle w:val="BodyText"/>
      </w:pPr>
      <w:r>
        <w:t xml:space="preserve">The target of at least 95% coverage for Scope 3 emissions has been met by addressing all major relevant categories across the product\'s value chain, including Purchased Goods &amp; Services, Transportation (Upstream &amp; Downstream), Use of Sold Products, and End-of-Life Treatment.</w:t>
      </w:r>
    </w:p>
    <w:bookmarkEnd w:id="49"/>
    <w:bookmarkStart w:id="50" w:name="application-of-2026-lsr-update"/>
    <w:p>
      <w:pPr>
        <w:pStyle w:val="Heading3"/>
      </w:pPr>
      <w:r>
        <w:t xml:space="preserve">5.3. Application of 2026 LSR Update</w:t>
      </w:r>
    </w:p>
    <w:p>
      <w:pPr>
        <w:pStyle w:val="FirstParagraph"/>
      </w:pPr>
      <w:r>
        <w:t xml:space="preserve">The GHG Protocol Land Sector and Removals (LSR) Standard, taking effect on January 1, 2027, is designed to provide requirements and guidance for accounting for land emissions, CO₂ removals, and other key metrics, particularly relevant for companies with significant land sector activities or those reporting on carbon dioxide removals. While \'jivxniphtr\' is an electronic product and does not directly involve land use or biogenic carbon in its primary components, \'wesgrsdhjw\' acknowledges the importance of the LSR Standard. For future PCF analyses, especially for products with bio-based materials or agricultural inputs, the LSR Standard will be explicitly integrated to quantify any land-related emissions or removals from the value chain. As the accompanying guidance for the LSR Standard is expected in Q2 2026, this report notes the upcoming implementation and its future implications for relevant product categories.</w:t>
      </w:r>
    </w:p>
    <w:bookmarkEnd w:id="50"/>
    <w:bookmarkStart w:id="51" w:name="circularity-and-end-of-life-impacts"/>
    <w:p>
      <w:pPr>
        <w:pStyle w:val="Heading3"/>
      </w:pPr>
      <w:r>
        <w:t xml:space="preserve">5.4. Circularity and End-of-Life Impacts</w:t>
      </w:r>
    </w:p>
    <w:p>
      <w:pPr>
        <w:pStyle w:val="FirstParagraph"/>
      </w:pPr>
      <w:r>
        <w:t xml:space="preserve">The high recyclability percentage of 85% for \'jivxniphtr\' significantly contributes to its circularity potential. The company\'s established take-back programs (\'msxguqlutx\') are crucial for achieving these recycling rates and for promoting material recovery and refurbishment, thereby avoiding emissions associated with virgin material production. While avoided emissions from recycling are not included in the GHG inventory total, they represent a significant environmental benefit. For instance, aluminum recycling alone can save up to 95% of the energy required for primary production, translating to substantial carbon savings per kilogram recycled. This proactive approach by \'wesgrsdhjw\' reduces resource depletion and waste generation, aligning with circular economy principles.</w:t>
      </w:r>
    </w:p>
    <w:p>
      <w:r>
        <w:pict>
          <v:rect style="width:0;height:1.5pt" o:hralign="center" o:hrstd="t" o:hr="t"/>
        </w:pict>
      </w:r>
    </w:p>
    <w:bookmarkEnd w:id="51"/>
    <w:bookmarkEnd w:id="52"/>
    <w:bookmarkStart w:id="54" w:name="conclusion-and-recommendations"/>
    <w:p>
      <w:pPr>
        <w:pStyle w:val="Heading2"/>
      </w:pPr>
      <w:r>
        <w:t xml:space="preserve">Conclusion and Recommendations</w:t>
      </w:r>
    </w:p>
    <w:p>
      <w:pPr>
        <w:pStyle w:val="FirstParagraph"/>
      </w:pPr>
      <w:r>
        <w:t xml:space="preserve">The Product Carbon Footprint of \'jivxniphtr\' at 25.86 kgCO2e per unit provides a clear baseline for emission reduction efforts. The analysis highlights that the Use Phase and Purchased Goods &amp; Services are the most significant contributors to the overall footprint.</w:t>
      </w:r>
    </w:p>
    <w:p>
      <w:pPr>
        <w:pStyle w:val="BodyText"/>
      </w:pPr>
      <w:r>
        <w:rPr>
          <w:bCs/>
          <w:b/>
        </w:rPr>
        <w:t xml:space="preserve">Recommendations:</w:t>
      </w:r>
    </w:p>
    <w:p>
      <w:pPr>
        <w:numPr>
          <w:ilvl w:val="0"/>
          <w:numId w:val="1014"/>
        </w:numPr>
        <w:pStyle w:val="Compact"/>
      </w:pPr>
      <w:r>
        <w:rPr>
          <w:bCs/>
          <w:b/>
        </w:rPr>
        <w:t xml:space="preserve">Enhance Use Phase Efficiency:</w:t>
      </w:r>
      <w:r>
        <w:t xml:space="preserve"> </w:t>
      </w:r>
      <w:r>
        <w:t xml:space="preserve">Invest in R&amp;D to further improve the energy efficiency of \'jivxniphtr\'. Explore smart features or software updates that optimize energy consumption during operation. Provide clear guidance to customers on energy-saving usage patterns.</w:t>
      </w:r>
    </w:p>
    <w:p>
      <w:pPr>
        <w:numPr>
          <w:ilvl w:val="0"/>
          <w:numId w:val="1014"/>
        </w:numPr>
        <w:pStyle w:val="Compact"/>
      </w:pPr>
      <w:r>
        <w:rPr>
          <w:bCs/>
          <w:b/>
        </w:rPr>
        <w:t xml:space="preserve">Optimize Material Sourcing:</w:t>
      </w:r>
      <w:r>
        <w:t xml:space="preserve"> </w:t>
      </w:r>
      <w:r>
        <w:t xml:space="preserve">Collaborate with suppliers to increase the percentage of recycled content in materials like aluminum and plastics. Explore alternative, lower-carbon materials or components with certified lower embodied emissions. Engage suppliers to improve their manufacturing processes and transition to renewable energy.</w:t>
      </w:r>
    </w:p>
    <w:p>
      <w:pPr>
        <w:numPr>
          <w:ilvl w:val="0"/>
          <w:numId w:val="1014"/>
        </w:numPr>
        <w:pStyle w:val="Compact"/>
      </w:pPr>
      <w:r>
        <w:rPr>
          <w:bCs/>
          <w:b/>
        </w:rPr>
        <w:t xml:space="preserve">Strengthen Renewable Energy Procurement:</w:t>
      </w:r>
      <w:r>
        <w:t xml:space="preserve"> </w:t>
      </w:r>
      <w:r>
        <w:t xml:space="preserve">While 75% renewable energy usage is commendable, aim for 100% renewable energy in manufacturing facilities to eliminate remaining Scope 2 emissions.</w:t>
      </w:r>
    </w:p>
    <w:p>
      <w:pPr>
        <w:numPr>
          <w:ilvl w:val="0"/>
          <w:numId w:val="1014"/>
        </w:numPr>
        <w:pStyle w:val="Compact"/>
      </w:pPr>
      <w:r>
        <w:rPr>
          <w:bCs/>
          <w:b/>
        </w:rPr>
        <w:t xml:space="preserve">Refine Logistics:</w:t>
      </w:r>
      <w:r>
        <w:t xml:space="preserve"> </w:t>
      </w:r>
      <w:r>
        <w:t xml:space="preserve">Continuously evaluate transportation modes and routes for both inbound and outbound logistics. Prioritize lower-emission options like rail or electric vehicles where feasible, especially for last-mile delivery in Europe.</w:t>
      </w:r>
    </w:p>
    <w:p>
      <w:pPr>
        <w:numPr>
          <w:ilvl w:val="0"/>
          <w:numId w:val="1014"/>
        </w:numPr>
        <w:pStyle w:val="Compact"/>
      </w:pPr>
      <w:r>
        <w:rPr>
          <w:bCs/>
          <w:b/>
        </w:rPr>
        <w:t xml:space="preserve">Expand Circular Economy Initiatives:</w:t>
      </w:r>
      <w:r>
        <w:t xml:space="preserve"> </w:t>
      </w:r>
      <w:r>
        <w:t xml:space="preserve">Continue to strengthen take-back programs and explore opportunities for product refurbishment and remanufacturing to extend product lifespans and retain material value.</w:t>
      </w:r>
    </w:p>
    <w:p>
      <w:pPr>
        <w:numPr>
          <w:ilvl w:val="0"/>
          <w:numId w:val="1014"/>
        </w:numPr>
        <w:pStyle w:val="Compact"/>
      </w:pPr>
      <w:r>
        <w:rPr>
          <w:bCs/>
          <w:b/>
        </w:rPr>
        <w:t xml:space="preserve">Data Granularity:</w:t>
      </w:r>
      <w:r>
        <w:t xml:space="preserve"> </w:t>
      </w:r>
      <w:r>
        <w:t xml:space="preserve">For future iterations, collect more specific primary data for material-specific emission factors from suppliers and region-specific grid mixes for the use phase within Europe to enhance the accuracy of the PCF.</w:t>
      </w:r>
    </w:p>
    <w:p>
      <w:pPr>
        <w:pStyle w:val="FirstParagraph"/>
      </w:pPr>
      <w:r>
        <w:t xml:space="preserve">Confidential - Internal Use Only | Page</w:t>
      </w:r>
      <w:r>
        <w:t xml:space="preserve"> </w:t>
      </w:r>
      <w:bookmarkStart w:id="53" w:name="pageNumber"/>
      <w:bookmarkEnd w:id="53"/>
    </w:p>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jivxniphtr</dc:title>
  <dc:creator/>
  <dc:description>Detailed Product Carbon Footprint (PCF) analysis report for jivxniphtr by wesgrsdhjw, adhering to GHG Protocol standards and 2026 LSR updates.</dc:description>
  <dc:language>en</dc:language>
  <cp:keywords/>
  <dcterms:created xsi:type="dcterms:W3CDTF">2026-07-15T04:24:08Z</dcterms:created>
  <dcterms:modified xsi:type="dcterms:W3CDTF">2026-07-15T04:24:08Z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