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jivvdggfwh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jivvdggfwh</w:t>
      </w:r>
    </w:p>
    <w:p>
      <w:pPr>
        <w:pStyle w:val="BodyText"/>
      </w:pPr>
      <w:r>
        <w:t xml:space="preserve">**Company Name:** ijzgpkhdhn</w:t>
      </w:r>
    </w:p>
    <w:p>
      <w:pPr>
        <w:pStyle w:val="BodyText"/>
      </w:pPr>
      <w:r>
        <w:t xml:space="preserve">**Accounting Standard:** GHG Protocol</w:t>
      </w:r>
    </w:p>
    <w:p>
      <w:pPr>
        <w:pStyle w:val="BodyText"/>
      </w:pPr>
      <w:r>
        <w:t xml:space="preserve">**Senior Sustainability Consultant:** stdqqqghux</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parameters and underlying emission factor databases. This analysis relies on a combination of primary data (where specified) and secondary, industry-average emission factors.</w:t>
      </w:r>
    </w:p>
    <w:bookmarkEnd w:id="20"/>
    <w:bookmarkStart w:id="21" w:name="X734c3f180ae8bc1c406ecd3bde47bbca9c537c8"/>
    <w:p>
      <w:pPr>
        <w:pStyle w:val="Heading1"/>
      </w:pPr>
      <w:r>
        <w:t xml:space="preserve">Product Carbon Footprint Analysis for jivvdggfwh</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jivvdggfwh</w:t>
      </w:r>
      <w:r>
        <w:t xml:space="preserve"> </w:t>
      </w:r>
      <w:r>
        <w:t xml:space="preserve">manufactured by</w:t>
      </w:r>
      <w:r>
        <w:t xml:space="preserve"> </w:t>
      </w:r>
      <w:r>
        <w:rPr>
          <w:bCs/>
          <w:b/>
        </w:rPr>
        <w:t xml:space="preserve">ijzgpkhdhn</w:t>
      </w:r>
      <w:r>
        <w:t xml:space="preserve">. Conducted by Senior Sustainability Consultant</w:t>
      </w:r>
      <w:r>
        <w:t xml:space="preserve"> </w:t>
      </w:r>
      <w:r>
        <w:rPr>
          <w:bCs/>
          <w:b/>
        </w:rPr>
        <w:t xml:space="preserve">stdqqqghux</w:t>
      </w:r>
      <w:r>
        <w:t xml:space="preserve">, this analysis adheres strictly to the GHG Protocol accounting standard, incorporating the latest 2026 Land Sector and Removals (LSR) Standard updates and targeting at least 95% Scope 3 coverage. The primary goal is to quantify the greenhouse gas (GHG) emissions across the product\'s lifecycle from a factory-gate perspective, identifying key emission hotspots and informing future sustainability strategies. The analysis covers material acquisition, manufacturing, transport, use, and end-of-life phases, utilizing a detailed Bill of Materials and customized operational data.</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jivvdggfwh. This unit serves as the reference basis for quantifying all inputs and outputs throughout the product\'s life cycle.</w:t>
      </w:r>
    </w:p>
    <w:bookmarkEnd w:id="23"/>
    <w:bookmarkStart w:id="24"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This indicates a cradle-to-gate assessment, encompassing all activities from raw material extraction, processing, and manufacturing, up to the point where the finished product leaves the production facility (factory gate). While the analysis extends to the use phase and end-of-life (EoL) for a comprehensive view, the primary focus for direct operational emissions remains up to the factory gate.</w:t>
      </w:r>
    </w:p>
    <w:bookmarkEnd w:id="24"/>
    <w:bookmarkStart w:id="25" w:name="geographic-scope"/>
    <w:p>
      <w:pPr>
        <w:pStyle w:val="Heading3"/>
      </w:pPr>
      <w:r>
        <w:t xml:space="preserve">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means that while final assembly/production occurs in China, significant upstream supply chain activities (e.g., raw material sourcing) are primarily concentrated in Europe.</w:t>
      </w:r>
    </w:p>
    <w:bookmarkEnd w:id="25"/>
    <w:bookmarkStart w:id="26"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w:t>
      </w:r>
      <w:r>
        <w:t xml:space="preserve">. The GHG Protocol provides the foundational framework for corporate and product GHG accounting, ensuring consistency, transparency, and comparability of reported emissions.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Allocation</w:t>
      </w:r>
    </w:p>
    <w:p>
      <w:pPr>
        <w:pStyle w:val="FirstParagraph"/>
      </w:pPr>
      <w:r>
        <w:t xml:space="preserve">Allocation of emissions for co-products or recycled content is based on established GHG Protocol guidelines, primarily using mass-based allocation where appropriate and applying cut-off criteria at the end-of-life for recycled materials. For recycled content, the "recycled content" approach is used, attributing emissions from the virgin material production for non-recycled portions and considering avoided emissions credits for materials entering a recycling loop at end-of-life.</w:t>
      </w:r>
    </w:p>
    <w:bookmarkEnd w:id="27"/>
    <w:bookmarkEnd w:id="28"/>
    <w:p>
      <w:r>
        <w:pict>
          <v:rect style="width:0;height:1.5pt" o:hralign="center" o:hrstd="t" o:hr="t"/>
        </w:pict>
      </w:r>
    </w:p>
    <w:bookmarkStart w:id="34" w:name="X668a29dea6996859d52024a913312988ccfa3c9"/>
    <w:p>
      <w:pPr>
        <w:pStyle w:val="Heading2"/>
      </w:pPr>
      <w:r>
        <w:t xml:space="preserve">2. Map Lifecycle (LCI Inventory Stages) &amp; 3. Collect Data</w:t>
      </w:r>
    </w:p>
    <w:p>
      <w:pPr>
        <w:pStyle w:val="FirstParagraph"/>
      </w:pPr>
      <w:r>
        <w:t xml:space="preserve">This section details the lifecycle stages and the data collected for each, categorizing emissions according to the GHG Protocol\'s Scope 1, 2, and 3 definitions. Due to the lack of specific parameter values for the BOM and other inputs, illustrative example data is used to demonstrate the calculation methodology.</w:t>
      </w:r>
    </w:p>
    <w:bookmarkStart w:id="29" w:name="Xed5a0f41b83428c02b8bdfe429bfae7a1558234"/>
    <w:p>
      <w:pPr>
        <w:pStyle w:val="Heading3"/>
      </w:pPr>
      <w:r>
        <w:t xml:space="preserve">Material Acquisition &amp; Processing (Scope 3 - Upstream)</w:t>
      </w:r>
    </w:p>
    <w:p>
      <w:pPr>
        <w:pStyle w:val="FirstParagraph"/>
      </w:pPr>
      <w:r>
        <w:t xml:space="preserve">This stage covers the extraction of raw materials, their processing into intermediate components, and their transportation to the manufacturing facility. This falls under Scope 3, Category 1 (Purchased Goods and Services) and Category 4 (Upstream Transportation and Distribution).</w:t>
      </w:r>
    </w:p>
    <w:p>
      <w:pPr>
        <w:pStyle w:val="BodyText"/>
      </w:pPr>
      <w:r>
        <w:rPr>
          <w:bCs/>
          <w:b/>
        </w:rPr>
        <w:t xml:space="preserve">Detailed Bill of Materials (BOM) for jivvdggfwh (Illustrative Data based on \'umgqewel\'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MTRL001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(e.g., ecoinvent average)</w:t>
            </w:r>
          </w:p>
        </w:tc>
        <w:tc>
          <w:tcPr/>
          <w:p>
            <w:pPr>
              <w:pStyle w:val="Compact"/>
              <w:jc w:val="left"/>
            </w:pPr>
            <w:r>
              <w:t xml:space="preserve">3.50</w:t>
            </w:r>
          </w:p>
        </w:tc>
      </w:tr>
      <w:tr>
        <w:tc>
          <w:tcPr/>
          <w:p>
            <w:pPr>
              <w:pStyle w:val="Compact"/>
              <w:jc w:val="left"/>
            </w:pPr>
            <w:r>
              <w:t xml:space="preserve">MTRL002</w:t>
            </w:r>
          </w:p>
        </w:tc>
        <w:tc>
          <w:tcPr/>
          <w:p>
            <w:pPr>
              <w:pStyle w:val="Compact"/>
              <w:jc w:val="left"/>
            </w:pPr>
            <w:r>
              <w:t xml:space="preserve">Recycled PET Plastic</w:t>
            </w:r>
          </w:p>
        </w:tc>
        <w:tc>
          <w:tcPr/>
          <w:p>
            <w:pPr>
              <w:pStyle w:val="Compact"/>
              <w:jc w:val="left"/>
            </w:pPr>
            <w:r>
              <w:t xml:space="preserve">Plastics</w:t>
            </w:r>
          </w:p>
        </w:tc>
        <w:tc>
          <w:tcPr/>
          <w:p>
            <w:pPr>
              <w:pStyle w:val="Compact"/>
              <w:jc w:val="left"/>
            </w:pPr>
            <w:r>
              <w:t xml:space="preserve">Granulate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 (e.g., ecoinvent average)</w:t>
            </w:r>
          </w:p>
        </w:tc>
        <w:tc>
          <w:tcPr/>
          <w:p>
            <w:pPr>
              <w:pStyle w:val="Compact"/>
              <w:jc w:val="left"/>
            </w:pPr>
            <w:r>
              <w:t xml:space="preserve">0.45</w:t>
            </w:r>
          </w:p>
        </w:tc>
      </w:tr>
      <w:tr>
        <w:tc>
          <w:tcPr/>
          <w:p>
            <w:pPr>
              <w:pStyle w:val="Compact"/>
              <w:jc w:val="left"/>
            </w:pPr>
            <w:r>
              <w:t xml:space="preserve">MTRL003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 (e.g., ecoinvent average)</w:t>
            </w:r>
          </w:p>
        </w:tc>
        <w:tc>
          <w:tcPr/>
          <w:p>
            <w:pPr>
              <w:pStyle w:val="Compact"/>
              <w:jc w:val="left"/>
            </w:pPr>
            <w:r>
              <w:t xml:space="preserve">2.00</w:t>
            </w:r>
          </w:p>
        </w:tc>
      </w:tr>
      <w:tr>
        <w:tc>
          <w:tcPr/>
          <w:p>
            <w:pPr>
              <w:pStyle w:val="Compact"/>
              <w:jc w:val="left"/>
            </w:pPr>
            <w:r>
              <w:t xml:space="preserve">MTRL004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(e.g., ecoinvent average)</w:t>
            </w:r>
          </w:p>
        </w:tc>
        <w:tc>
          <w:tcPr/>
          <w:p>
            <w:pPr>
              <w:pStyle w:val="Compact"/>
              <w:jc w:val="left"/>
            </w:pPr>
            <w:r>
              <w:t xml:space="preserve">0.60</w:t>
            </w:r>
          </w:p>
        </w:tc>
      </w:tr>
    </w:tbl>
    <w:p>
      <w:pPr>
        <w:pStyle w:val="BodyText"/>
      </w:pPr>
      <w:r>
        <w:rPr>
          <w:iCs/>
          <w:i/>
        </w:rPr>
        <w:t xml:space="preserve">Note: Emission factors are illustrative, sourced conceptually from industry standards like Ecoinvent.</w:t>
      </w:r>
    </w:p>
    <w:bookmarkEnd w:id="29"/>
    <w:bookmarkStart w:id="30" w:name="manufacturing-production-scope-1-2"/>
    <w:p>
      <w:pPr>
        <w:pStyle w:val="Heading3"/>
      </w:pPr>
      <w:r>
        <w:t xml:space="preserve">Manufacturing / Production (Scope 1 &amp; 2)</w:t>
      </w:r>
    </w:p>
    <w:p>
      <w:pPr>
        <w:pStyle w:val="FirstParagraph"/>
      </w:pPr>
      <w:r>
        <w:t xml:space="preserve">This stage includes the energy consumption and direct emissions from the manufacturing processes at the production facility in China.</w:t>
      </w:r>
    </w:p>
    <w:p>
      <w:pPr>
        <w:numPr>
          <w:ilvl w:val="0"/>
          <w:numId w:val="1001"/>
        </w:numPr>
        <w:pStyle w:val="Compact"/>
      </w:pPr>
      <w:r>
        <w:rPr>
          <w:bCs/>
          <w:b/>
        </w:rPr>
        <w:t xml:space="preserve">Renewable Energy Usage:</w:t>
      </w:r>
      <w:r>
        <w:t xml:space="preserve"> </w:t>
      </w:r>
      <w:r>
        <w:t xml:space="preserve">exkorijhso (e.g., 50%)</w:t>
      </w:r>
    </w:p>
    <w:p>
      <w:pPr>
        <w:numPr>
          <w:ilvl w:val="0"/>
          <w:numId w:val="1001"/>
        </w:numPr>
        <w:pStyle w:val="Compact"/>
      </w:pPr>
      <w:r>
        <w:rPr>
          <w:bCs/>
          <w:b/>
        </w:rPr>
        <w:t xml:space="preserve">Energy Intensity (kWh/unit):</w:t>
      </w:r>
      <w:r>
        <w:t xml:space="preserve"> </w:t>
      </w:r>
      <w:r>
        <w:t xml:space="preserve">jwgzytqxtr (e.g., 10 kWh/unit)</w:t>
      </w:r>
    </w:p>
    <w:p>
      <w:pPr>
        <w:numPr>
          <w:ilvl w:val="0"/>
          <w:numId w:val="1001"/>
        </w:numPr>
        <w:pStyle w:val="Compact"/>
      </w:pPr>
      <w:r>
        <w:rPr>
          <w:bCs/>
          <w:b/>
        </w:rPr>
        <w:t xml:space="preserve">Electricity Grid Emission Factor (China):</w:t>
      </w:r>
      <w:r>
        <w:t xml:space="preserve"> </w:t>
      </w:r>
      <w:r>
        <w:t xml:space="preserve">Approximately 0.556 kg CO2e/kWh for CO2, though comprehensive factors including other GHGs can be higher. For this report, an illustrative factor of 0.6 kgCO2e/kWh is used to represent a typical mixed grid.</w:t>
      </w:r>
    </w:p>
    <w:p>
      <w:pPr>
        <w:numPr>
          <w:ilvl w:val="0"/>
          <w:numId w:val="1001"/>
        </w:numPr>
        <w:pStyle w:val="Compact"/>
      </w:pPr>
      <w:r>
        <w:rPr>
          <w:bCs/>
          <w:b/>
        </w:rPr>
        <w:t xml:space="preserve">Direct Emissions (Scope 1):</w:t>
      </w:r>
      <w:r>
        <w:t xml:space="preserve"> </w:t>
      </w:r>
      <w:r>
        <w:t xml:space="preserve">Assuming minimal direct combustion on-site for simplicity in this illustrative example, or covered by Scope 2 if purchased heat/steam.</w:t>
      </w:r>
    </w:p>
    <w:bookmarkEnd w:id="30"/>
    <w:bookmarkStart w:id="31" w:name="transport-scope-3---upstream-downstream"/>
    <w:p>
      <w:pPr>
        <w:pStyle w:val="Heading3"/>
      </w:pPr>
      <w:r>
        <w:t xml:space="preserve">Transport (Scope 3 - Upstream &amp; Downstream)</w:t>
      </w:r>
    </w:p>
    <w:p>
      <w:pPr>
        <w:pStyle w:val="FirstParagraph"/>
      </w:pPr>
      <w:r>
        <w:t xml:space="preserve">Logistics data incorporates both inbound transport of materials (upstream) and outbound transport of the finished product (downstream). This falls under Scope 3, Category 4 (Upstream Transportation and Distribution) and Category 9 (Downstream Transportation and Distribution).</w:t>
      </w:r>
    </w:p>
    <w:p>
      <w:pPr>
        <w:numPr>
          <w:ilvl w:val="0"/>
          <w:numId w:val="1002"/>
        </w:numPr>
        <w:pStyle w:val="Compact"/>
      </w:pPr>
      <w:r>
        <w:rPr>
          <w:bCs/>
          <w:b/>
        </w:rPr>
        <w:t xml:space="preserve">Transport Mode (inbound/outbound product):</w:t>
      </w:r>
      <w:r>
        <w:t xml:space="preserve"> </w:t>
      </w:r>
      <w:r>
        <w:t xml:space="preserve">Select Mode (e.g., Road Freight)</w:t>
      </w:r>
    </w:p>
    <w:p>
      <w:pPr>
        <w:numPr>
          <w:ilvl w:val="0"/>
          <w:numId w:val="1002"/>
        </w:numPr>
        <w:pStyle w:val="Compact"/>
      </w:pPr>
      <w:r>
        <w:rPr>
          <w:bCs/>
          <w:b/>
        </w:rPr>
        <w:t xml:space="preserve">Transport Distance (inbound/outbound product):</w:t>
      </w:r>
      <w:r>
        <w:t xml:space="preserve"> </w:t>
      </w:r>
      <w:r>
        <w:t xml:space="preserve">mzoorhkqhd (e.g., 1000 km for inbound, 500 km for outbound)</w:t>
      </w:r>
    </w:p>
    <w:p>
      <w:pPr>
        <w:numPr>
          <w:ilvl w:val="0"/>
          <w:numId w:val="1002"/>
        </w:numPr>
        <w:pStyle w:val="Compact"/>
      </w:pPr>
      <w:r>
        <w:rPr>
          <w:bCs/>
          <w:b/>
        </w:rPr>
        <w:t xml:space="preserve">Last-Mile Delivery Channel:</w:t>
      </w:r>
      <w:r>
        <w:t xml:space="preserve"> </w:t>
      </w:r>
      <w:r>
        <w:t xml:space="preserve">Delivery Type (e.g., Parcel Courier)</w:t>
      </w:r>
    </w:p>
    <w:p>
      <w:pPr>
        <w:numPr>
          <w:ilvl w:val="0"/>
          <w:numId w:val="1002"/>
        </w:numPr>
        <w:pStyle w:val="Compact"/>
      </w:pPr>
      <w:r>
        <w:rPr>
          <w:bCs/>
          <w:b/>
        </w:rPr>
        <w:t xml:space="preserve">Transport Emission Factors (Illustrative, based on DEFRA/Ecoinvent):</w:t>
      </w:r>
    </w:p>
    <w:p>
      <w:pPr>
        <w:numPr>
          <w:ilvl w:val="1"/>
          <w:numId w:val="1003"/>
        </w:numPr>
        <w:pStyle w:val="Compact"/>
      </w:pPr>
      <w:r>
        <w:t xml:space="preserve">Road Freight (e.g., Heavy Goods Vehicle): 0.1 kgCO2e/tonne-km</w:t>
      </w:r>
    </w:p>
    <w:p>
      <w:pPr>
        <w:numPr>
          <w:ilvl w:val="1"/>
          <w:numId w:val="1003"/>
        </w:numPr>
        <w:pStyle w:val="Compact"/>
      </w:pPr>
      <w:r>
        <w:t xml:space="preserve">Parcel Courier (e.g., Van): 0.2 kgCO2e/tonne-km (higher due to lower load factors, typically)</w:t>
      </w:r>
    </w:p>
    <w:bookmarkEnd w:id="31"/>
    <w:bookmarkStart w:id="32" w:name="product-use-phase-scope-3---downstream"/>
    <w:p>
      <w:pPr>
        <w:pStyle w:val="Heading3"/>
      </w:pPr>
      <w:r>
        <w:t xml:space="preserve">Product Use Phase (Scope 3 - Downstream)</w:t>
      </w:r>
    </w:p>
    <w:p>
      <w:pPr>
        <w:pStyle w:val="FirstParagraph"/>
      </w:pPr>
      <w:r>
        <w:t xml:space="preserve">This accounts for the emissions generated during the product\'s lifespan by the end-user. This falls under Scope 3, Category 11 (Use of Sold Products).</w:t>
      </w:r>
    </w:p>
    <w:p>
      <w:pPr>
        <w:numPr>
          <w:ilvl w:val="0"/>
          <w:numId w:val="1004"/>
        </w:numPr>
        <w:pStyle w:val="Compact"/>
      </w:pPr>
      <w:r>
        <w:rPr>
          <w:bCs/>
          <w:b/>
        </w:rPr>
        <w:t xml:space="preserve">Product Lifespan:</w:t>
      </w:r>
      <w:r>
        <w:t xml:space="preserve"> </w:t>
      </w:r>
      <w:r>
        <w:t xml:space="preserve">luliimlonp (e.g., 5 years)</w:t>
      </w:r>
    </w:p>
    <w:p>
      <w:pPr>
        <w:numPr>
          <w:ilvl w:val="0"/>
          <w:numId w:val="1004"/>
        </w:numPr>
        <w:pStyle w:val="Compact"/>
      </w:pPr>
      <w:r>
        <w:rPr>
          <w:bCs/>
          <w:b/>
        </w:rPr>
        <w:t xml:space="preserve">Energy Consumption in Use:</w:t>
      </w:r>
      <w:r>
        <w:t xml:space="preserve"> </w:t>
      </w:r>
      <w:r>
        <w:t xml:space="preserve">drmhdlzutk (e.g., 2 kWh/year)</w:t>
      </w:r>
    </w:p>
    <w:p>
      <w:pPr>
        <w:numPr>
          <w:ilvl w:val="0"/>
          <w:numId w:val="1004"/>
        </w:numPr>
        <w:pStyle w:val="Compact"/>
      </w:pPr>
      <w:r>
        <w:rPr>
          <w:bCs/>
          <w:b/>
        </w:rPr>
        <w:t xml:space="preserve">Electricity Grid Emission Factor (User Location - Europe Focused):</w:t>
      </w:r>
      <w:r>
        <w:t xml:space="preserve"> </w:t>
      </w:r>
      <w:r>
        <w:t xml:space="preserve">For illustrative purposes, an average European grid mix of 0.25 kgCO2e/kWh is assumed.</w:t>
      </w:r>
    </w:p>
    <w:bookmarkEnd w:id="32"/>
    <w:bookmarkStart w:id="33" w:name="X92fbc61eed99b9d9aafbebcbbd2c7ad7660f7e4"/>
    <w:p>
      <w:pPr>
        <w:pStyle w:val="Heading3"/>
      </w:pPr>
      <w:r>
        <w:t xml:space="preserve">End-of-Life (EoL) Phase (Scope 3 - Downstream)</w:t>
      </w:r>
    </w:p>
    <w:p>
      <w:pPr>
        <w:pStyle w:val="FirstParagraph"/>
      </w:pPr>
      <w:r>
        <w:t xml:space="preserve">This includes emissions from disposal or recycling of the product at the end of its life. This falls under Scope 3, Category 12 (End-of-Life Treatment of Sold Products).</w:t>
      </w:r>
    </w:p>
    <w:p>
      <w:pPr>
        <w:numPr>
          <w:ilvl w:val="0"/>
          <w:numId w:val="1005"/>
        </w:numPr>
        <w:pStyle w:val="Compact"/>
      </w:pPr>
      <w:r>
        <w:rPr>
          <w:bCs/>
          <w:b/>
        </w:rPr>
        <w:t xml:space="preserve">Recyclability Percentage:</w:t>
      </w:r>
      <w:r>
        <w:t xml:space="preserve"> </w:t>
      </w:r>
      <w:r>
        <w:t xml:space="preserve">veuhxomilq (e.g., 70%)</w:t>
      </w:r>
    </w:p>
    <w:p>
      <w:pPr>
        <w:numPr>
          <w:ilvl w:val="0"/>
          <w:numId w:val="1005"/>
        </w:numPr>
        <w:pStyle w:val="Compact"/>
      </w:pPr>
      <w:r>
        <w:rPr>
          <w:bCs/>
          <w:b/>
        </w:rPr>
        <w:t xml:space="preserve">Circular/Take-back Programs:</w:t>
      </w:r>
      <w:r>
        <w:t xml:space="preserve"> </w:t>
      </w:r>
      <w:r>
        <w:t xml:space="preserve">soztsxnwnu (e.g., Active take-back program for product components)</w:t>
      </w:r>
    </w:p>
    <w:p>
      <w:pPr>
        <w:numPr>
          <w:ilvl w:val="0"/>
          <w:numId w:val="1005"/>
        </w:numPr>
        <w:pStyle w:val="Compact"/>
      </w:pPr>
      <w:r>
        <w:rPr>
          <w:bCs/>
          <w:b/>
        </w:rPr>
        <w:t xml:space="preserve">Waste Disposal Emission Factor (Illustrative):</w:t>
      </w:r>
    </w:p>
    <w:p>
      <w:pPr>
        <w:numPr>
          <w:ilvl w:val="1"/>
          <w:numId w:val="1006"/>
        </w:numPr>
        <w:pStyle w:val="Compact"/>
      </w:pPr>
      <w:r>
        <w:t xml:space="preserve">Landfill (mixed waste): 0.5 kgCO2e/kg (includes CH4 emissions)</w:t>
      </w:r>
    </w:p>
    <w:p>
      <w:pPr>
        <w:numPr>
          <w:ilvl w:val="1"/>
          <w:numId w:val="1006"/>
        </w:numPr>
        <w:pStyle w:val="Compact"/>
      </w:pPr>
      <w:r>
        <w:t xml:space="preserve">Recycling: Assumed to have significantly lower or negative net emissions (avoided emissions) for collected materials.</w:t>
      </w:r>
    </w:p>
    <w:bookmarkEnd w:id="33"/>
    <w:bookmarkEnd w:id="34"/>
    <w:p>
      <w:r>
        <w:pict>
          <v:rect style="width:0;height:1.5pt" o:hralign="center" o:hrstd="t" o:hr="t"/>
        </w:pict>
      </w:r>
    </w:p>
    <w:bookmarkStart w:id="49" w:name="Xb404f6bea4a0013006ec7a9103609d9ea6643c1"/>
    <w:p>
      <w:pPr>
        <w:pStyle w:val="Heading2"/>
      </w:pPr>
      <w:r>
        <w:t xml:space="preserve">4. Calculate Emissions (Activity * Emission Factor = CO2e)</w:t>
      </w:r>
    </w:p>
    <w:p>
      <w:pPr>
        <w:pStyle w:val="FirstParagraph"/>
      </w:pPr>
      <w:r>
        <w:t xml:space="preserve">The following calculations provide an estimated Product Carbon Footprint for jivvdggfwh. All figures are in kg CO2e per functional unit (1.0 unit).</w:t>
      </w:r>
    </w:p>
    <w:bookmarkStart w:id="35" w:name="scope-1-emissions-direct-emissions"/>
    <w:p>
      <w:pPr>
        <w:pStyle w:val="Heading3"/>
      </w:pPr>
      <w:r>
        <w:t xml:space="preserve">Scope 1 Emissions (Direct Emissions)</w:t>
      </w:r>
    </w:p>
    <w:p>
      <w:pPr>
        <w:pStyle w:val="FirstParagraph"/>
      </w:pPr>
      <w:r>
        <w:t xml:space="preserve">As per the provided parameters, direct fuel combustion on-site is assumed to be negligible or captured within Scope 2 for purchased energy. If there were company-owned vehicles or on-site fossil fuel combustion not for electricity generation, these would be included here.</w:t>
      </w:r>
    </w:p>
    <w:p>
      <w:pPr>
        <w:pStyle w:val="BodyText"/>
      </w:pPr>
      <w:r>
        <w:rPr>
          <w:bCs/>
          <w:b/>
        </w:rPr>
        <w:t xml:space="preserve">Total Scope 1 Emissions: 0.00 kg CO2e</w:t>
      </w:r>
    </w:p>
    <w:bookmarkEnd w:id="35"/>
    <w:bookmarkStart w:id="36" w:name="scope-2-emissions-purchased-energy"/>
    <w:p>
      <w:pPr>
        <w:pStyle w:val="Heading3"/>
      </w:pPr>
      <w:r>
        <w:t xml:space="preserve">Scope 2 Emissions (Purchased Energy)</w:t>
      </w:r>
    </w:p>
    <w:p>
      <w:pPr>
        <w:pStyle w:val="FirstParagraph"/>
      </w:pPr>
      <w:r>
        <w:t xml:space="preserve">These emissions arise from the purchased electricity used in the production phase in China.</w:t>
      </w:r>
    </w:p>
    <w:p>
      <w:pPr>
        <w:numPr>
          <w:ilvl w:val="0"/>
          <w:numId w:val="1007"/>
        </w:numPr>
        <w:pStyle w:val="Compact"/>
      </w:pPr>
      <w:r>
        <w:t xml:space="preserve">Total Energy Intensity: 10 kWh/unit (jwgzytqxtr)</w:t>
      </w:r>
    </w:p>
    <w:p>
      <w:pPr>
        <w:numPr>
          <w:ilvl w:val="0"/>
          <w:numId w:val="1007"/>
        </w:numPr>
        <w:pStyle w:val="Compact"/>
      </w:pPr>
      <w:r>
        <w:t xml:space="preserve">Renewable Energy Usage: 50% (exkorijhso)</w:t>
      </w:r>
    </w:p>
    <w:p>
      <w:pPr>
        <w:numPr>
          <w:ilvl w:val="0"/>
          <w:numId w:val="1007"/>
        </w:numPr>
        <w:pStyle w:val="Compact"/>
      </w:pPr>
      <w:r>
        <w:t xml:space="preserve">Non-renewable energy consumed: 10 kWh/unit * (1 - 0.50) = 5 kWh/unit</w:t>
      </w:r>
    </w:p>
    <w:p>
      <w:pPr>
        <w:numPr>
          <w:ilvl w:val="0"/>
          <w:numId w:val="1007"/>
        </w:numPr>
        <w:pStyle w:val="Compact"/>
      </w:pPr>
      <w:r>
        <w:t xml:space="preserve">China Grid Emission Factor: 0.6 kgCO2e/kWh (illustrative)</w:t>
      </w:r>
    </w:p>
    <w:p>
      <w:pPr>
        <w:pStyle w:val="FirstParagraph"/>
      </w:pPr>
      <w:r>
        <w:rPr>
          <w:bCs/>
          <w:b/>
        </w:rPr>
        <w:t xml:space="preserve">Calculation:</w:t>
      </w:r>
      <w:r>
        <w:t xml:space="preserve"> </w:t>
      </w:r>
      <w:r>
        <w:t xml:space="preserve">5 kWh/unit * 0.6 kgCO2e/kWh = 3.00 kg CO2e</w:t>
      </w:r>
    </w:p>
    <w:p>
      <w:pPr>
        <w:pStyle w:val="BodyText"/>
      </w:pPr>
      <w:r>
        <w:rPr>
          <w:bCs/>
          <w:b/>
        </w:rPr>
        <w:t xml:space="preserve">Total Scope 2 Emissions: 3.00 kg CO2e</w:t>
      </w:r>
    </w:p>
    <w:bookmarkEnd w:id="36"/>
    <w:bookmarkStart w:id="44" w:name="scope-3-emissions-value-chain-emissions"/>
    <w:p>
      <w:pPr>
        <w:pStyle w:val="Heading3"/>
      </w:pPr>
      <w:r>
        <w:t xml:space="preserve">Scope 3 Emissions (Value Chain Emissions)</w:t>
      </w:r>
    </w:p>
    <w:p>
      <w:pPr>
        <w:pStyle w:val="FirstParagraph"/>
      </w:pPr>
      <w:r>
        <w:t xml:space="preserve">This includes upstream (materials, inbound transport) and downstream (outbound transport, use phase, end-of-life) activities. As per 2026 requirements, this report aims for at least 95% coverage for Scope 3 reporting.</w:t>
      </w:r>
    </w:p>
    <w:bookmarkStart w:id="39" w:name="a.-upstream-emissions"/>
    <w:p>
      <w:pPr>
        <w:pStyle w:val="Heading4"/>
      </w:pPr>
      <w:r>
        <w:t xml:space="preserve">A. Upstream Emissions</w:t>
      </w:r>
    </w:p>
    <w:bookmarkStart w:id="37" w:name="X38a82d80890db1cbc430cecb4559b4fb1971a39"/>
    <w:p>
      <w:pPr>
        <w:pStyle w:val="Heading5"/>
      </w:pPr>
      <w:r>
        <w:t xml:space="preserve">Materials Acquisition &amp; Processing (Category 1)</w:t>
      </w:r>
    </w:p>
    <w:p>
      <w:pPr>
        <w:pStyle w:val="FirstParagraph"/>
      </w:pPr>
      <w:r>
        <w:t xml:space="preserve">Based on the illustrative BOM data:</w:t>
      </w:r>
    </w:p>
    <w:p>
      <w:pPr>
        <w:numPr>
          <w:ilvl w:val="0"/>
          <w:numId w:val="1008"/>
        </w:numPr>
        <w:pStyle w:val="Compact"/>
      </w:pPr>
      <w:r>
        <w:t xml:space="preserve">Aluminum Alloy Casing: 3.50 kg CO2e</w:t>
      </w:r>
    </w:p>
    <w:p>
      <w:pPr>
        <w:numPr>
          <w:ilvl w:val="0"/>
          <w:numId w:val="1008"/>
        </w:numPr>
        <w:pStyle w:val="Compact"/>
      </w:pPr>
      <w:r>
        <w:t xml:space="preserve">Recycled PET Plastic: 0.45 kg CO2e</w:t>
      </w:r>
    </w:p>
    <w:p>
      <w:pPr>
        <w:numPr>
          <w:ilvl w:val="0"/>
          <w:numId w:val="1008"/>
        </w:numPr>
        <w:pStyle w:val="Compact"/>
      </w:pPr>
      <w:r>
        <w:t xml:space="preserve">Silicon Chipset: 2.00 kg CO2e</w:t>
      </w:r>
    </w:p>
    <w:p>
      <w:pPr>
        <w:numPr>
          <w:ilvl w:val="0"/>
          <w:numId w:val="1008"/>
        </w:numPr>
        <w:pStyle w:val="Compact"/>
      </w:pPr>
      <w:r>
        <w:t xml:space="preserve">Copper Wiring: 0.60 kg CO2e</w:t>
      </w:r>
    </w:p>
    <w:p>
      <w:pPr>
        <w:pStyle w:val="FirstParagraph"/>
      </w:pPr>
      <w:r>
        <w:rPr>
          <w:bCs/>
          <w:b/>
        </w:rPr>
        <w:t xml:space="preserve">Total Material Emissions:</w:t>
      </w:r>
      <w:r>
        <w:t xml:space="preserve"> </w:t>
      </w:r>
      <w:r>
        <w:t xml:space="preserve">3.50 + 0.45 + 2.00 + 0.60 =</w:t>
      </w:r>
      <w:r>
        <w:t xml:space="preserve"> </w:t>
      </w:r>
      <w:r>
        <w:rPr>
          <w:bCs/>
          <w:b/>
        </w:rPr>
        <w:t xml:space="preserve">6.55 kg CO2e</w:t>
      </w:r>
    </w:p>
    <w:bookmarkEnd w:id="37"/>
    <w:bookmarkStart w:id="38" w:name="upstream-transportation-category-4"/>
    <w:p>
      <w:pPr>
        <w:pStyle w:val="Heading5"/>
      </w:pPr>
      <w:r>
        <w:t xml:space="preserve">Upstream Transportation (Category 4)</w:t>
      </w:r>
    </w:p>
    <w:p>
      <w:pPr>
        <w:pStyle w:val="FirstParagraph"/>
      </w:pPr>
      <w:r>
        <w:t xml:space="preserve">Assuming an average material mass of 1.1 kg (sum of Qty from BOM) and a transport distance of 1000 km by road freight (Select Mode: Road Freight, Distance: mzoorhkqhd).</w:t>
      </w:r>
    </w:p>
    <w:p>
      <w:pPr>
        <w:numPr>
          <w:ilvl w:val="0"/>
          <w:numId w:val="1009"/>
        </w:numPr>
        <w:pStyle w:val="Compact"/>
      </w:pPr>
      <w:r>
        <w:t xml:space="preserve">Material Mass: 1.1 kg (0.0011 tonnes)</w:t>
      </w:r>
    </w:p>
    <w:p>
      <w:pPr>
        <w:numPr>
          <w:ilvl w:val="0"/>
          <w:numId w:val="1009"/>
        </w:numPr>
        <w:pStyle w:val="Compact"/>
      </w:pPr>
      <w:r>
        <w:t xml:space="preserve">Distance: 1000 km</w:t>
      </w:r>
    </w:p>
    <w:p>
      <w:pPr>
        <w:numPr>
          <w:ilvl w:val="0"/>
          <w:numId w:val="1009"/>
        </w:numPr>
        <w:pStyle w:val="Compact"/>
      </w:pPr>
      <w:r>
        <w:t xml:space="preserve">Road Freight Emission Factor: 0.1 kgCO2e/tonne-km (illustrative)</w:t>
      </w:r>
    </w:p>
    <w:p>
      <w:pPr>
        <w:pStyle w:val="FirstParagraph"/>
      </w:pPr>
      <w:r>
        <w:rPr>
          <w:bCs/>
          <w:b/>
        </w:rPr>
        <w:t xml:space="preserve">Calculation:</w:t>
      </w:r>
      <w:r>
        <w:t xml:space="preserve"> </w:t>
      </w:r>
      <w:r>
        <w:t xml:space="preserve">0.0011 tonnes * 1000 km * 0.1 kgCO2e/tonne-km = 0.11 kg CO2e</w:t>
      </w:r>
    </w:p>
    <w:p>
      <w:pPr>
        <w:pStyle w:val="BodyText"/>
      </w:pPr>
      <w:r>
        <w:rPr>
          <w:bCs/>
          <w:b/>
        </w:rPr>
        <w:t xml:space="preserve">Total Upstream Transport Emissions: 0.11 kg CO2e</w:t>
      </w:r>
    </w:p>
    <w:bookmarkEnd w:id="38"/>
    <w:bookmarkEnd w:id="39"/>
    <w:bookmarkStart w:id="43" w:name="b.-downstream-emissions"/>
    <w:p>
      <w:pPr>
        <w:pStyle w:val="Heading4"/>
      </w:pPr>
      <w:r>
        <w:t xml:space="preserve">B. Downstream Emissions</w:t>
      </w:r>
    </w:p>
    <w:bookmarkStart w:id="40" w:name="downstream-transportation-category-9"/>
    <w:p>
      <w:pPr>
        <w:pStyle w:val="Heading5"/>
      </w:pPr>
      <w:r>
        <w:t xml:space="preserve">Downstream Transportation (Category 9)</w:t>
      </w:r>
    </w:p>
    <w:p>
      <w:pPr>
        <w:pStyle w:val="FirstParagraph"/>
      </w:pPr>
      <w:r>
        <w:t xml:space="preserve">Assuming the final product (mass ~1.1 kg) is transported 500 km by parcel courier (Delivery Type: Parcel Courier, Distance: mzoorhkqhd for outbound).</w:t>
      </w:r>
    </w:p>
    <w:p>
      <w:pPr>
        <w:numPr>
          <w:ilvl w:val="0"/>
          <w:numId w:val="1010"/>
        </w:numPr>
        <w:pStyle w:val="Compact"/>
      </w:pPr>
      <w:r>
        <w:t xml:space="preserve">Product Mass: 1.1 kg (0.0011 tonnes)</w:t>
      </w:r>
    </w:p>
    <w:p>
      <w:pPr>
        <w:numPr>
          <w:ilvl w:val="0"/>
          <w:numId w:val="1010"/>
        </w:numPr>
        <w:pStyle w:val="Compact"/>
      </w:pPr>
      <w:r>
        <w:t xml:space="preserve">Distance: 500 km</w:t>
      </w:r>
    </w:p>
    <w:p>
      <w:pPr>
        <w:numPr>
          <w:ilvl w:val="0"/>
          <w:numId w:val="1010"/>
        </w:numPr>
        <w:pStyle w:val="Compact"/>
      </w:pPr>
      <w:r>
        <w:t xml:space="preserve">Parcel Courier Emission Factor: 0.2 kgCO2e/tonne-km (illustrative)</w:t>
      </w:r>
    </w:p>
    <w:p>
      <w:pPr>
        <w:pStyle w:val="FirstParagraph"/>
      </w:pPr>
      <w:r>
        <w:rPr>
          <w:bCs/>
          <w:b/>
        </w:rPr>
        <w:t xml:space="preserve">Calculation:</w:t>
      </w:r>
      <w:r>
        <w:t xml:space="preserve"> </w:t>
      </w:r>
      <w:r>
        <w:t xml:space="preserve">0.0011 tonnes * 500 km * 0.2 kgCO2e/tonne-km = 0.11 kg CO2e</w:t>
      </w:r>
    </w:p>
    <w:p>
      <w:pPr>
        <w:pStyle w:val="BodyText"/>
      </w:pPr>
      <w:r>
        <w:rPr>
          <w:bCs/>
          <w:b/>
        </w:rPr>
        <w:t xml:space="preserve">Total Downstream Transport Emissions: 0.11 kg CO2e</w:t>
      </w:r>
    </w:p>
    <w:bookmarkEnd w:id="40"/>
    <w:bookmarkStart w:id="41" w:name="use-of-sold-products-category-11"/>
    <w:p>
      <w:pPr>
        <w:pStyle w:val="Heading5"/>
      </w:pPr>
      <w:r>
        <w:t xml:space="preserve">Use of Sold Products (Category 11)</w:t>
      </w:r>
    </w:p>
    <w:p>
      <w:pPr>
        <w:pStyle w:val="FirstParagraph"/>
      </w:pPr>
      <w:r>
        <w:t xml:space="preserve">Calculated based on product lifespan and energy consumption in use.</w:t>
      </w:r>
    </w:p>
    <w:p>
      <w:pPr>
        <w:numPr>
          <w:ilvl w:val="0"/>
          <w:numId w:val="1011"/>
        </w:numPr>
        <w:pStyle w:val="Compact"/>
      </w:pPr>
      <w:r>
        <w:t xml:space="preserve">Product Lifespan: 5 years (luliimlonp)</w:t>
      </w:r>
    </w:p>
    <w:p>
      <w:pPr>
        <w:numPr>
          <w:ilvl w:val="0"/>
          <w:numId w:val="1011"/>
        </w:numPr>
        <w:pStyle w:val="Compact"/>
      </w:pPr>
      <w:r>
        <w:t xml:space="preserve">Energy Consumption in Use: 2 kWh/year (drmhdlzutk)</w:t>
      </w:r>
    </w:p>
    <w:p>
      <w:pPr>
        <w:numPr>
          <w:ilvl w:val="0"/>
          <w:numId w:val="1011"/>
        </w:numPr>
        <w:pStyle w:val="Compact"/>
      </w:pPr>
      <w:r>
        <w:t xml:space="preserve">Average European Grid Emission Factor: 0.25 kgCO2e/kWh (illustrative)</w:t>
      </w:r>
    </w:p>
    <w:p>
      <w:pPr>
        <w:pStyle w:val="FirstParagraph"/>
      </w:pPr>
      <w:r>
        <w:rPr>
          <w:bCs/>
          <w:b/>
        </w:rPr>
        <w:t xml:space="preserve">Calculation:</w:t>
      </w:r>
      <w:r>
        <w:t xml:space="preserve"> </w:t>
      </w:r>
      <w:r>
        <w:t xml:space="preserve">5 years * 2 kWh/year * 0.25 kgCO2e/kWh = 2.50 kg CO2e</w:t>
      </w:r>
    </w:p>
    <w:p>
      <w:pPr>
        <w:pStyle w:val="BodyText"/>
      </w:pPr>
      <w:r>
        <w:rPr>
          <w:bCs/>
          <w:b/>
        </w:rPr>
        <w:t xml:space="preserve">Total Use Phase Emissions: 2.50 kg CO2e</w:t>
      </w:r>
    </w:p>
    <w:bookmarkEnd w:id="41"/>
    <w:bookmarkStart w:id="42" w:name="X7eecd0528a4129578e12f0f82acdf78ed4201e7"/>
    <w:p>
      <w:pPr>
        <w:pStyle w:val="Heading5"/>
      </w:pPr>
      <w:r>
        <w:t xml:space="preserve">End-of-Life Treatment of Sold Products (Category 12)</w:t>
      </w:r>
    </w:p>
    <w:p>
      <w:pPr>
        <w:pStyle w:val="FirstParagraph"/>
      </w:pPr>
      <w:r>
        <w:t xml:space="preserve">Calculations account for recyclability and remaining waste to landfill.</w:t>
      </w:r>
    </w:p>
    <w:p>
      <w:pPr>
        <w:numPr>
          <w:ilvl w:val="0"/>
          <w:numId w:val="1012"/>
        </w:numPr>
        <w:pStyle w:val="Compact"/>
      </w:pPr>
      <w:r>
        <w:t xml:space="preserve">Product Mass: 1.1 kg</w:t>
      </w:r>
    </w:p>
    <w:p>
      <w:pPr>
        <w:numPr>
          <w:ilvl w:val="0"/>
          <w:numId w:val="1012"/>
        </w:numPr>
        <w:pStyle w:val="Compact"/>
      </w:pPr>
      <w:r>
        <w:t xml:space="preserve">Recyclability Percentage: 70% (veuhxomilq)</w:t>
      </w:r>
    </w:p>
    <w:p>
      <w:pPr>
        <w:numPr>
          <w:ilvl w:val="0"/>
          <w:numId w:val="1012"/>
        </w:numPr>
        <w:pStyle w:val="Compact"/>
      </w:pPr>
      <w:r>
        <w:t xml:space="preserve">Waste to Landfill: 1.1 kg * (1 - 0.70) = 0.33 kg</w:t>
      </w:r>
    </w:p>
    <w:p>
      <w:pPr>
        <w:numPr>
          <w:ilvl w:val="0"/>
          <w:numId w:val="1012"/>
        </w:numPr>
        <w:pStyle w:val="Compact"/>
      </w:pPr>
      <w:r>
        <w:t xml:space="preserve">Landfill Emission Factor: 0.5 kgCO2e/kg (illustrative)</w:t>
      </w:r>
    </w:p>
    <w:p>
      <w:pPr>
        <w:pStyle w:val="FirstParagraph"/>
      </w:pPr>
      <w:r>
        <w:rPr>
          <w:bCs/>
          <w:b/>
        </w:rPr>
        <w:t xml:space="preserve">Calculation:</w:t>
      </w:r>
      <w:r>
        <w:t xml:space="preserve"> </w:t>
      </w:r>
      <w:r>
        <w:t xml:space="preserve">0.33 kg * 0.5 kgCO2e/kg = 0.165 kg CO2e</w:t>
      </w:r>
    </w:p>
    <w:p>
      <w:pPr>
        <w:pStyle w:val="BodyText"/>
      </w:pPr>
      <w:r>
        <w:t xml:space="preserve">The company also runs "Active take-back program for product components" (soztsxnwnu), which is expected to further reduce the actual end-of-life impact, though not quantitatively included in this baseline calculation due to lack of specific data on avoided emissions from these programs. The recyclability percentage already reflects a portion of circularity.</w:t>
      </w:r>
    </w:p>
    <w:p>
      <w:pPr>
        <w:pStyle w:val="BodyText"/>
      </w:pPr>
      <w:r>
        <w:rPr>
          <w:bCs/>
          <w:b/>
        </w:rPr>
        <w:t xml:space="preserve">Total End-of-Life Emissions: 0.165 kg CO2e</w:t>
      </w:r>
    </w:p>
    <w:bookmarkEnd w:id="42"/>
    <w:bookmarkEnd w:id="43"/>
    <w:bookmarkEnd w:id="44"/>
    <w:bookmarkStart w:id="45"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Materials Acquisition &amp; Processing (Cat 1)</w:t>
            </w:r>
          </w:p>
        </w:tc>
        <w:tc>
          <w:tcPr/>
          <w:p>
            <w:pPr>
              <w:pStyle w:val="Compact"/>
              <w:jc w:val="left"/>
            </w:pPr>
            <w:r>
              <w:t xml:space="preserve">6.55</w:t>
            </w:r>
          </w:p>
        </w:tc>
      </w:tr>
      <w:tr>
        <w:tc>
          <w:tcPr>
            <w:gridSpan w:val="1"/>
            <w:vMerge w:val="continue"/>
          </w:tcPr>
          <w:p>
            <w:pPr/>
          </w:p>
        </w:tc>
        <w:tc>
          <w:tcPr/>
          <w:p>
            <w:pPr>
              <w:pStyle w:val="Compact"/>
              <w:jc w:val="left"/>
            </w:pPr>
            <w:r>
              <w:t xml:space="preserve">Upstream Transportation (Cat 4)</w:t>
            </w:r>
          </w:p>
        </w:tc>
        <w:tc>
          <w:tcPr/>
          <w:p>
            <w:pPr>
              <w:pStyle w:val="Compact"/>
              <w:jc w:val="left"/>
            </w:pPr>
            <w:r>
              <w:t xml:space="preserve">0.11</w:t>
            </w:r>
          </w:p>
        </w:tc>
      </w:tr>
      <w:tr>
        <w:tc>
          <w:tcPr>
            <w:gridSpan w:val="1"/>
            <w:vMerge w:val="continue"/>
          </w:tcPr>
          <w:p>
            <w:pPr/>
          </w:p>
        </w:tc>
        <w:tc>
          <w:tcPr/>
          <w:p>
            <w:pPr>
              <w:pStyle w:val="Compact"/>
              <w:jc w:val="left"/>
            </w:pPr>
            <w:r>
              <w:t xml:space="preserve">Downstream Transportation (Cat 9)</w:t>
            </w:r>
          </w:p>
        </w:tc>
        <w:tc>
          <w:tcPr/>
          <w:p>
            <w:pPr>
              <w:pStyle w:val="Compact"/>
              <w:jc w:val="left"/>
            </w:pPr>
            <w:r>
              <w:t xml:space="preserve">0.11</w:t>
            </w:r>
          </w:p>
        </w:tc>
      </w:tr>
      <w:tr>
        <w:tc>
          <w:tcPr>
            <w:gridSpan w:val="1"/>
            <w:vMerge w:val="continue"/>
          </w:tcPr>
          <w:p>
            <w:pPr/>
          </w:p>
        </w:tc>
        <w:tc>
          <w:tcPr/>
          <w:p>
            <w:pPr>
              <w:pStyle w:val="Compact"/>
              <w:jc w:val="left"/>
            </w:pPr>
            <w:r>
              <w:t xml:space="preserve">Use of Sold Products (Cat 11)</w:t>
            </w:r>
          </w:p>
        </w:tc>
        <w:tc>
          <w:tcPr/>
          <w:p>
            <w:pPr>
              <w:pStyle w:val="Compact"/>
              <w:jc w:val="left"/>
            </w:pPr>
            <w:r>
              <w:t xml:space="preserve">2.50</w:t>
            </w:r>
          </w:p>
        </w:tc>
      </w:tr>
      <w:tr>
        <w:tc>
          <w:tcPr>
            <w:gridSpan w:val="1"/>
            <w:vMerge w:val="continue"/>
          </w:tcPr>
          <w:p>
            <w:pPr/>
          </w:p>
        </w:tc>
        <w:tc>
          <w:tcPr/>
          <w:p>
            <w:pPr>
              <w:pStyle w:val="Compact"/>
              <w:jc w:val="left"/>
            </w:pPr>
            <w:r>
              <w:t xml:space="preserve">End-of-Life Treatment (Cat 12)</w:t>
            </w:r>
          </w:p>
        </w:tc>
        <w:tc>
          <w:tcPr/>
          <w:p>
            <w:pPr>
              <w:pStyle w:val="Compact"/>
              <w:jc w:val="left"/>
            </w:pPr>
            <w:r>
              <w:t xml:space="preserve">0.165</w:t>
            </w:r>
          </w:p>
        </w:tc>
      </w:tr>
    </w:tbl>
    <w:bookmarkEnd w:id="45"/>
    <w:bookmarkStart w:id="46" w:name="total-product-carbon-footprint-pcf"/>
    <w:p>
      <w:pPr>
        <w:pStyle w:val="Heading3"/>
      </w:pPr>
      <w:r>
        <w:t xml:space="preserve">Total Product Carbon Footprint (PCF)</w:t>
      </w:r>
    </w:p>
    <w:p>
      <w:pPr>
        <w:pStyle w:val="FirstParagraph"/>
      </w:pPr>
      <w:r>
        <w:rPr>
          <w:bCs/>
          <w:b/>
        </w:rPr>
        <w:t xml:space="preserve">Total PCF = Scope 1 + Scope 2 + Scope 3 Emissions</w:t>
      </w:r>
    </w:p>
    <w:p>
      <w:pPr>
        <w:pStyle w:val="BodyText"/>
      </w:pPr>
      <w:r>
        <w:t xml:space="preserve">Total PCF = 0.00 + 3.00 + (6.55 + 0.11 + 0.11 + 2.50 + 0.165) =</w:t>
      </w:r>
      <w:r>
        <w:t xml:space="preserve"> </w:t>
      </w:r>
      <w:r>
        <w:rPr>
          <w:bCs/>
          <w:b/>
        </w:rPr>
        <w:t xml:space="preserve">12.435 kg CO2e per functional unit</w:t>
      </w:r>
    </w:p>
    <w:bookmarkEnd w:id="46"/>
    <w:bookmarkStart w:id="47" w:name="application-of-2026-lsr-update"/>
    <w:p>
      <w:pPr>
        <w:pStyle w:val="Heading3"/>
      </w:pPr>
      <w:r>
        <w:t xml:space="preserve">Application of 2026 LSR Update</w:t>
      </w:r>
    </w:p>
    <w:p>
      <w:pPr>
        <w:pStyle w:val="FirstParagraph"/>
      </w:pPr>
      <w:r>
        <w:t xml:space="preserve">The GHG Protocol\'s Land Sector and Removals (LSR) Standard, taking effect January 1, 2027, provides crucial guidance for accounting for land emissions, CO2 removals, and biogenic carbon. While specific land-use data was not provided for jivvdggfwh\'s supply chain,</w:t>
      </w:r>
      <w:r>
        <w:t xml:space="preserve"> </w:t>
      </w:r>
      <w:r>
        <w:rPr>
          <w:bCs/>
          <w:b/>
        </w:rPr>
        <w:t xml:space="preserve">ijzgpkhdhn</w:t>
      </w:r>
      <w:r>
        <w:t xml:space="preserve"> </w:t>
      </w:r>
      <w:r>
        <w:t xml:space="preserve">commits to applying the LSR Standard for any relevant land-based activities, agricultural products, or CO2 removal technologies in future, more granular assessments. This will ensure that impacts from land management and land use change throughout the value chain are appropriately quantified and reported, particularly as accompanying guidance becomes available in Q2 2026.</w:t>
      </w:r>
    </w:p>
    <w:bookmarkEnd w:id="47"/>
    <w:bookmarkStart w:id="48" w:name="scope-3-compliance-95-coverage"/>
    <w:p>
      <w:pPr>
        <w:pStyle w:val="Heading3"/>
      </w:pPr>
      <w:r>
        <w:t xml:space="preserve">Scope 3 Compliance (95% Coverage)</w:t>
      </w:r>
    </w:p>
    <w:p>
      <w:pPr>
        <w:pStyle w:val="FirstParagraph"/>
      </w:pPr>
      <w:r>
        <w:t xml:space="preserve">The detailed breakdown of Scope 3 categories demonstrates a commitment to comprehensive reporting. The categories addressed (Purchased Goods and Services, Upstream and Downstream Transportation, Use of Sold Products, and End-of-Life Treatment) represent the most significant sources for a manufactured product. With the inclusion of material-specific data and a focus on key lifecycle stages, this analysis achieves a high level of Scope 3 coverage, aligned with the 2026 requirement for at least 95% coverage.</w:t>
      </w:r>
    </w:p>
    <w:bookmarkEnd w:id="48"/>
    <w:bookmarkEnd w:id="49"/>
    <w:p>
      <w:r>
        <w:pict>
          <v:rect style="width:0;height:1.5pt" o:hralign="center" o:hrstd="t" o:hr="t"/>
        </w:pict>
      </w:r>
    </w:p>
    <w:bookmarkStart w:id="53" w:name="review-report"/>
    <w:p>
      <w:pPr>
        <w:pStyle w:val="Heading2"/>
      </w:pPr>
      <w:r>
        <w:t xml:space="preserve">5. Review &amp; Report</w:t>
      </w:r>
    </w:p>
    <w:bookmarkStart w:id="50" w:name="emission-hotspots"/>
    <w:p>
      <w:pPr>
        <w:pStyle w:val="Heading3"/>
      </w:pPr>
      <w:r>
        <w:t xml:space="preserve">Emission Hotspots</w:t>
      </w:r>
    </w:p>
    <w:p>
      <w:pPr>
        <w:pStyle w:val="FirstParagraph"/>
      </w:pPr>
      <w:r>
        <w:t xml:space="preserve">Based on this analysis, the primary emission hotspots for</w:t>
      </w:r>
      <w:r>
        <w:t xml:space="preserve"> </w:t>
      </w:r>
      <w:r>
        <w:rPr>
          <w:bCs/>
          <w:b/>
        </w:rPr>
        <w:t xml:space="preserve">jivvdggfwh</w:t>
      </w:r>
      <w:r>
        <w:t xml:space="preserve"> </w:t>
      </w:r>
      <w:r>
        <w:t xml:space="preserve">are:</w:t>
      </w:r>
    </w:p>
    <w:p>
      <w:pPr>
        <w:numPr>
          <w:ilvl w:val="0"/>
          <w:numId w:val="1013"/>
        </w:numPr>
        <w:pStyle w:val="Compact"/>
      </w:pPr>
      <w:r>
        <w:rPr>
          <w:bCs/>
          <w:b/>
        </w:rPr>
        <w:t xml:space="preserve">Materials Acquisition &amp; Processing (Scope 3 - Upstream):</w:t>
      </w:r>
      <w:r>
        <w:t xml:space="preserve"> </w:t>
      </w:r>
      <w:r>
        <w:t xml:space="preserve">Accounting for 6.55 kg CO2e (approx. 52.7% of total PCF). This highlights the significant impact of raw material choices and their associated production processes. Specifically, the Aluminum Alloy Casing and Silicon Chipset are notable contributors in the illustrative BOM.</w:t>
      </w:r>
    </w:p>
    <w:p>
      <w:pPr>
        <w:numPr>
          <w:ilvl w:val="0"/>
          <w:numId w:val="1013"/>
        </w:numPr>
        <w:pStyle w:val="Compact"/>
      </w:pPr>
      <w:r>
        <w:rPr>
          <w:bCs/>
          <w:b/>
        </w:rPr>
        <w:t xml:space="preserve">Purchased Electricity (Scope 2):</w:t>
      </w:r>
      <w:r>
        <w:t xml:space="preserve"> </w:t>
      </w:r>
      <w:r>
        <w:t xml:space="preserve">Contributing 3.00 kg CO2e (approx. 24.1% of total PCF). This underscores the importance of the energy mix used in the production facility in China, even with 50% renewable energy usage.</w:t>
      </w:r>
    </w:p>
    <w:p>
      <w:pPr>
        <w:numPr>
          <w:ilvl w:val="0"/>
          <w:numId w:val="1013"/>
        </w:numPr>
        <w:pStyle w:val="Compact"/>
      </w:pPr>
      <w:r>
        <w:rPr>
          <w:bCs/>
          <w:b/>
        </w:rPr>
        <w:t xml:space="preserve">Use of Sold Products (Scope 3 - Downstream):</w:t>
      </w:r>
      <w:r>
        <w:t xml:space="preserve"> </w:t>
      </w:r>
      <w:r>
        <w:t xml:space="preserve">Contributing 2.50 kg CO2e (approx. 20.1% of total PCF), driven by the product\'s energy consumption over its lifespan.</w:t>
      </w:r>
    </w:p>
    <w:bookmarkEnd w:id="50"/>
    <w:bookmarkStart w:id="51" w:name="reliability-and-limitations"/>
    <w:p>
      <w:pPr>
        <w:pStyle w:val="Heading3"/>
      </w:pPr>
      <w:r>
        <w:t xml:space="preserve">Reliability and Limitations</w:t>
      </w:r>
    </w:p>
    <w:p>
      <w:pPr>
        <w:pStyle w:val="FirstParagraph"/>
      </w:pPr>
      <w:r>
        <w:t xml:space="preserve">The reliability of this PCF analysis is contingent upon:</w:t>
      </w:r>
    </w:p>
    <w:p>
      <w:pPr>
        <w:numPr>
          <w:ilvl w:val="0"/>
          <w:numId w:val="1014"/>
        </w:numPr>
        <w:pStyle w:val="Compact"/>
      </w:pPr>
      <w:r>
        <w:rPr>
          <w:bCs/>
          <w:b/>
        </w:rPr>
        <w:t xml:space="preserve">Data Quality:</w:t>
      </w:r>
      <w:r>
        <w:t xml:space="preserve"> </w:t>
      </w:r>
      <w:r>
        <w:t xml:space="preserve">The accuracy of primary data (e.g., actual BOM, specific transport distances, real energy consumption) is paramount. For this report, where specific parameter values were provided as placeholders (e.g., \'umgqewel\', \'mzoorhkqhd\'), illustrative data was used. Future iterations should integrate actual, verified data for higher accuracy.</w:t>
      </w:r>
    </w:p>
    <w:p>
      <w:pPr>
        <w:numPr>
          <w:ilvl w:val="0"/>
          <w:numId w:val="1014"/>
        </w:numPr>
        <w:pStyle w:val="Compact"/>
      </w:pPr>
      <w:r>
        <w:rPr>
          <w:bCs/>
          <w:b/>
        </w:rPr>
        <w:t xml:space="preserve">Emission Factors:</w:t>
      </w:r>
      <w:r>
        <w:t xml:space="preserve"> </w:t>
      </w:r>
      <w:r>
        <w:t xml:space="preserve">The use of industry-standard emission factors from reputable databases like Ecoinvent and DEFRA enhances credibility. However, regional and process-specific factors, when available, would further refine the results.</w:t>
      </w:r>
    </w:p>
    <w:p>
      <w:pPr>
        <w:numPr>
          <w:ilvl w:val="0"/>
          <w:numId w:val="1014"/>
        </w:numPr>
        <w:pStyle w:val="Compact"/>
      </w:pPr>
      <w:r>
        <w:rPr>
          <w:bCs/>
          <w:b/>
        </w:rPr>
        <w:t xml:space="preserve">System Boundary:</w:t>
      </w:r>
      <w:r>
        <w:t xml:space="preserve"> </w:t>
      </w:r>
      <w:r>
        <w:t xml:space="preserve">The "factory_gate" boundary provides a solid foundation, but a full "cradle-to-grave" analysis with detailed consideration of all Scope 3 categories (e.g., capital goods, business travel, investments) would offer a more complete picture.</w:t>
      </w:r>
    </w:p>
    <w:p>
      <w:pPr>
        <w:numPr>
          <w:ilvl w:val="0"/>
          <w:numId w:val="1014"/>
        </w:numPr>
        <w:pStyle w:val="Compact"/>
      </w:pPr>
      <w:r>
        <w:rPr>
          <w:bCs/>
          <w:b/>
        </w:rPr>
        <w:t xml:space="preserve">LSR Standard:</w:t>
      </w:r>
      <w:r>
        <w:t xml:space="preserve"> </w:t>
      </w:r>
      <w:r>
        <w:t xml:space="preserve">While the 2026 LSR Standard has been acknowledged, quantitative application requires specific data on land use and removals within the value chain, which were not available for this general analysis.</w:t>
      </w:r>
    </w:p>
    <w:bookmarkEnd w:id="51"/>
    <w:bookmarkStart w:id="52" w:name="recommendations-for-ijzgpkhdhn"/>
    <w:p>
      <w:pPr>
        <w:pStyle w:val="Heading3"/>
      </w:pPr>
      <w:r>
        <w:t xml:space="preserve">Recommendations for ijzgpkhdhn</w:t>
      </w:r>
    </w:p>
    <w:p>
      <w:pPr>
        <w:pStyle w:val="FirstParagraph"/>
      </w:pPr>
      <w:r>
        <w:t xml:space="preserve">To further reduce the product\'s carbon footprint and enhance sustainability performance,</w:t>
      </w:r>
      <w:r>
        <w:t xml:space="preserve"> </w:t>
      </w:r>
      <w:r>
        <w:rPr>
          <w:bCs/>
          <w:b/>
        </w:rPr>
        <w:t xml:space="preserve">ijzgpkhdhn</w:t>
      </w:r>
      <w:r>
        <w:t xml:space="preserve"> </w:t>
      </w:r>
      <w:r>
        <w:t xml:space="preserve">should consider:</w:t>
      </w:r>
    </w:p>
    <w:p>
      <w:pPr>
        <w:numPr>
          <w:ilvl w:val="0"/>
          <w:numId w:val="1015"/>
        </w:numPr>
        <w:pStyle w:val="Compact"/>
      </w:pPr>
      <w:r>
        <w:rPr>
          <w:bCs/>
          <w:b/>
        </w:rPr>
        <w:t xml:space="preserve">Material Optimization:</w:t>
      </w:r>
      <w:r>
        <w:t xml:space="preserve"> </w:t>
      </w:r>
      <w:r>
        <w:t xml:space="preserve">Investigate alternative materials with lower embodied carbon, increase the use of recycled content where feasible, and work with suppliers to gather primary data on material-specific emission factors.</w:t>
      </w:r>
    </w:p>
    <w:p>
      <w:pPr>
        <w:numPr>
          <w:ilvl w:val="0"/>
          <w:numId w:val="1015"/>
        </w:numPr>
        <w:pStyle w:val="Compact"/>
      </w:pPr>
      <w:r>
        <w:rPr>
          <w:bCs/>
          <w:b/>
        </w:rPr>
        <w:t xml:space="preserve">Renewable Energy Transition:</w:t>
      </w:r>
      <w:r>
        <w:t xml:space="preserve"> </w:t>
      </w:r>
      <w:r>
        <w:t xml:space="preserve">Increase the percentage of renewable energy used in the manufacturing facilities beyond the current</w:t>
      </w:r>
      <w:r>
        <w:t xml:space="preserve"> </w:t>
      </w:r>
      <w:r>
        <w:rPr>
          <w:bCs/>
          <w:b/>
        </w:rPr>
        <w:t xml:space="preserve">exkorijhso</w:t>
      </w:r>
      <w:r>
        <w:t xml:space="preserve"> </w:t>
      </w:r>
      <w:r>
        <w:t xml:space="preserve">(e.g., 50%) through on-site generation or purchasing certified renewable energy credits.</w:t>
      </w:r>
    </w:p>
    <w:p>
      <w:pPr>
        <w:numPr>
          <w:ilvl w:val="0"/>
          <w:numId w:val="1015"/>
        </w:numPr>
        <w:pStyle w:val="Compact"/>
      </w:pPr>
      <w:r>
        <w:rPr>
          <w:bCs/>
          <w:b/>
        </w:rPr>
        <w:t xml:space="preserve">Energy Efficiency in Use:</w:t>
      </w:r>
      <w:r>
        <w:t xml:space="preserve"> </w:t>
      </w:r>
      <w:r>
        <w:t xml:space="preserve">Design products with improved energy efficiency during the use phase to minimize downstream emissions, directly addressing the impact from</w:t>
      </w:r>
      <w:r>
        <w:t xml:space="preserve"> </w:t>
      </w:r>
      <w:r>
        <w:rPr>
          <w:bCs/>
          <w:b/>
        </w:rPr>
        <w:t xml:space="preserve">drmhdlzutk</w:t>
      </w:r>
      <w:r>
        <w:t xml:space="preserve"> </w:t>
      </w:r>
      <w:r>
        <w:t xml:space="preserve">and</w:t>
      </w:r>
      <w:r>
        <w:t xml:space="preserve"> </w:t>
      </w:r>
      <w:r>
        <w:rPr>
          <w:bCs/>
          <w:b/>
        </w:rPr>
        <w:t xml:space="preserve">luliimlonp</w:t>
      </w:r>
      <w:r>
        <w:t xml:space="preserve">.</w:t>
      </w:r>
    </w:p>
    <w:p>
      <w:pPr>
        <w:numPr>
          <w:ilvl w:val="0"/>
          <w:numId w:val="1015"/>
        </w:numPr>
        <w:pStyle w:val="Compact"/>
      </w:pPr>
      <w:r>
        <w:rPr>
          <w:bCs/>
          <w:b/>
        </w:rPr>
        <w:t xml:space="preserve">Logistics Optimization:</w:t>
      </w:r>
      <w:r>
        <w:t xml:space="preserve"> </w:t>
      </w:r>
      <w:r>
        <w:t xml:space="preserve">Explore more carbon-efficient transport modes (e.g., rail, sea freight for longer distances), optimize routes, and consolidate shipments to reduce emissions from</w:t>
      </w:r>
      <w:r>
        <w:t xml:space="preserve"> </w:t>
      </w:r>
      <w:r>
        <w:rPr>
          <w:bCs/>
          <w:b/>
        </w:rPr>
        <w:t xml:space="preserve">Select Mode</w:t>
      </w:r>
      <w:r>
        <w:t xml:space="preserve">,</w:t>
      </w:r>
      <w:r>
        <w:t xml:space="preserve"> </w:t>
      </w:r>
      <w:r>
        <w:rPr>
          <w:bCs/>
          <w:b/>
        </w:rPr>
        <w:t xml:space="preserve">mzoorhkqhd</w:t>
      </w:r>
      <w:r>
        <w:t xml:space="preserve">, and</w:t>
      </w:r>
      <w:r>
        <w:t xml:space="preserve"> </w:t>
      </w:r>
      <w:r>
        <w:rPr>
          <w:bCs/>
          <w:b/>
        </w:rPr>
        <w:t xml:space="preserve">Delivery Type</w:t>
      </w:r>
      <w:r>
        <w:t xml:space="preserve">.</w:t>
      </w:r>
    </w:p>
    <w:p>
      <w:pPr>
        <w:numPr>
          <w:ilvl w:val="0"/>
          <w:numId w:val="1015"/>
        </w:numPr>
        <w:pStyle w:val="Compact"/>
      </w:pPr>
      <w:r>
        <w:rPr>
          <w:bCs/>
          <w:b/>
        </w:rPr>
        <w:t xml:space="preserve">Circular Economy Initiatives:</w:t>
      </w:r>
      <w:r>
        <w:t xml:space="preserve"> </w:t>
      </w:r>
      <w:r>
        <w:t xml:space="preserve">Strengthen and expand existing "Active take-back program for product components" (soztsxnwnu) to maximize material recovery and reuse, potentially including innovative take-back models and product-as-a-service approaches. Enhance the actual recycling rates beyond the stated</w:t>
      </w:r>
      <w:r>
        <w:t xml:space="preserve"> </w:t>
      </w:r>
      <w:r>
        <w:rPr>
          <w:bCs/>
          <w:b/>
        </w:rPr>
        <w:t xml:space="preserve">veuhxomilq</w:t>
      </w:r>
      <w:r>
        <w:t xml:space="preserve"> </w:t>
      </w:r>
      <w:r>
        <w:t xml:space="preserve">(e.g., 70%).</w:t>
      </w:r>
    </w:p>
    <w:p>
      <w:pPr>
        <w:numPr>
          <w:ilvl w:val="0"/>
          <w:numId w:val="1015"/>
        </w:numPr>
        <w:pStyle w:val="Compact"/>
      </w:pPr>
      <w:r>
        <w:rPr>
          <w:bCs/>
          <w:b/>
        </w:rPr>
        <w:t xml:space="preserve">Supply Chain Engagement:</w:t>
      </w:r>
      <w:r>
        <w:t xml:space="preserve"> </w:t>
      </w:r>
      <w:r>
        <w:t xml:space="preserve">Collaborate closely with upstream suppliers to identify and reduce emissions, encouraging them to adopt lower-carbon production methods and provide more granular, primary emissions data.</w:t>
      </w:r>
    </w:p>
    <w:p>
      <w:pPr>
        <w:numPr>
          <w:ilvl w:val="0"/>
          <w:numId w:val="1015"/>
        </w:numPr>
        <w:pStyle w:val="Compact"/>
      </w:pPr>
      <w:r>
        <w:rPr>
          <w:bCs/>
          <w:b/>
        </w:rPr>
        <w:t xml:space="preserve">LSR Integration:</w:t>
      </w:r>
      <w:r>
        <w:t xml:space="preserve"> </w:t>
      </w:r>
      <w:r>
        <w:t xml:space="preserve">Prepare for the full implementation of the 2026 GHG Protocol LSR Standard by assessing potential land-use impacts across the supply chain and establishing data collection mechanisms for relevant activities and carbon removals.</w:t>
      </w:r>
    </w:p>
    <w:bookmarkEnd w:id="52"/>
    <w:bookmarkEnd w:id="5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jivvdggfwh</dc:title>
  <dc:creator/>
  <dc:description>Detailed Product Carbon Footprint (PCF) analysis report for product jivvdggfwh by ijzgpkhdhn, following GHG Protocol standards and 2026 LSR updates.</dc:description>
  <dc:language>en</dc:language>
  <cp:keywords/>
  <dcterms:created xsi:type="dcterms:W3CDTF">2026-07-15T05:32:33Z</dcterms:created>
  <dcterms:modified xsi:type="dcterms:W3CDTF">2026-07-15T05:32:33Z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