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jitrpvewxs</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jitrpvewxs</w:t>
      </w:r>
    </w:p>
    <w:p>
      <w:pPr>
        <w:pStyle w:val="BodyText"/>
      </w:pPr>
      <w:r>
        <w:t xml:space="preserve">Company: nilhwungje</w:t>
      </w:r>
    </w:p>
    <w:p>
      <w:pPr>
        <w:pStyle w:val="BodyText"/>
      </w:pPr>
      <w:r>
        <w:t xml:space="preserve">Senior Sustainability Consultant: udoilpoflx</w:t>
      </w:r>
    </w:p>
    <w:p>
      <w:pPr>
        <w:pStyle w:val="BodyText"/>
      </w:pPr>
      <w:r>
        <w:t xml:space="preserve">Accounting Standard: GHG Protocol</w:t>
      </w:r>
    </w:p>
    <w:p>
      <w:pPr>
        <w:pStyle w:val="BodyText"/>
      </w:pPr>
      <w:r>
        <w:t xml:space="preserve">This report is generated based on available data and industry standards, providing an estimate of the product\'s carbon footprint. The accuracy is dependent on the completeness and quality of the input data and chosen emission factors.</w:t>
      </w:r>
    </w:p>
    <w:bookmarkEnd w:id="20"/>
    <w:bookmarkStart w:id="21" w:name="Xd4022b2b3a9ff2c1da97b227a4244445dc0dbac"/>
    <w:p>
      <w:pPr>
        <w:pStyle w:val="Heading1"/>
      </w:pPr>
      <w:r>
        <w:t xml:space="preserve">Product Carbon Footprint Analysis: jitrpvewxs</w:t>
      </w:r>
    </w:p>
    <w:p>
      <w:pPr>
        <w:pStyle w:val="FirstParagraph"/>
      </w:pPr>
      <w:r>
        <w:t xml:space="preserve">Generated Date: May 20, 2026</w:t>
      </w:r>
    </w:p>
    <w:p>
      <w:pPr>
        <w:pStyle w:val="BodyText"/>
      </w:pPr>
      <w:r>
        <w:t xml:space="preserve">Prepared for: nilhwungje</w:t>
      </w:r>
    </w:p>
    <w:p>
      <w:pPr>
        <w:pStyle w:val="BodyText"/>
      </w:pPr>
      <w:r>
        <w:t xml:space="preserve">Prepared by: udoilpoflx, Senior Sustainability Consultant</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\'jitrpvewxs\', manufactured by nilhwungje. The assessment, conducted by Senior Sustainability Consultant udoilpoflx, adheres strictly to the GHG Protocol accounting standard, incorporating the latest 2026 Land Sector and Removals (LSR) Standard for land use and carbon removals. The analysis covers the entire lifecycle from raw material acquisition to end-of-life, with a functional unit of 1.0 unit. The total Product Carbon Footprint for one unit of jitrpvewxs is calculated to be **28.46 kgCO2e**, with the Use Phase identified as the primary hotspot.</w:t>
      </w:r>
    </w:p>
    <w:p>
      <w:r>
        <w:pict>
          <v:rect style="width:0;height:1.5pt" o:hralign="center" o:hrstd="t" o:hr="t"/>
        </w:pict>
      </w:r>
    </w:p>
    <w:bookmarkEnd w:id="22"/>
    <w:bookmarkStart w:id="23" w:name="methodology-and-scope-definition"/>
    <w:p>
      <w:pPr>
        <w:pStyle w:val="Heading2"/>
      </w:pPr>
      <w:r>
        <w:t xml:space="preserve">1. Methodology and Scope Definition</w:t>
      </w:r>
    </w:p>
    <w:p>
      <w:pPr>
        <w:pStyle w:val="FirstParagraph"/>
      </w:pPr>
      <w:r>
        <w:t xml:space="preserve">The Product Carbon Footprint (PCF) analysis for jitrpvewxs follows the five-step methodology as outlined by the GHG Protocol Product Standard: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jitrpvewxs.</w:t>
      </w:r>
    </w:p>
    <w:p>
      <w:pPr>
        <w:numPr>
          <w:ilvl w:val="1"/>
          <w:numId w:val="1002"/>
        </w:numPr>
        <w:pStyle w:val="Compact"/>
      </w:pPr>
      <w:r>
        <w:rPr>
          <w:bCs/>
          <w:b/>
        </w:rPr>
        <w:t xml:space="preserve">System Boundary:</w:t>
      </w:r>
      <w:r>
        <w:t xml:space="preserve"> </w:t>
      </w:r>
      <w:r>
        <w:t xml:space="preserve">Cradle-to-grave, specifically a \'factory_gate\' boundary for initial production data, extending to downstream use and end-of-life.</w:t>
      </w:r>
    </w:p>
    <w:p>
      <w:pPr>
        <w:numPr>
          <w:ilvl w:val="1"/>
          <w:numId w:val="1002"/>
        </w:numPr>
        <w:pStyle w:val="Compact"/>
      </w:pPr>
      <w:r>
        <w:rPr>
          <w:bCs/>
          <w:b/>
        </w:rPr>
        <w:t xml:space="preserve">Geographic Scope:</w:t>
      </w:r>
      <w:r>
        <w:t xml:space="preserve"> </w:t>
      </w:r>
      <w:r>
        <w:t xml:space="preserve">Final Production Country: China, with a Supply Chain Focus on Europe for raw material sourcing.</w:t>
      </w:r>
    </w:p>
    <w:p>
      <w:pPr>
        <w:numPr>
          <w:ilvl w:val="1"/>
          <w:numId w:val="1002"/>
        </w:numPr>
        <w:pStyle w:val="Compact"/>
      </w:pPr>
      <w:r>
        <w:rPr>
          <w:bCs/>
          <w:b/>
        </w:rPr>
        <w:t xml:space="preserve">Allocation:</w:t>
      </w:r>
      <w:r>
        <w:t xml:space="preserve"> </w:t>
      </w:r>
      <w:r>
        <w:t xml:space="preserve">Mass-based allocation is applied where appropriate for co-products or waste streams, though specific co-product data was not provided for this product.</w:t>
      </w:r>
    </w:p>
    <w:p>
      <w:pPr>
        <w:numPr>
          <w:ilvl w:val="1"/>
          <w:numId w:val="1002"/>
        </w:numPr>
        <w:pStyle w:val="Compact"/>
      </w:pPr>
      <w:r>
        <w:rPr>
          <w:bCs/>
          <w:b/>
        </w:rPr>
        <w:t xml:space="preserve">Accounting Standard:</w:t>
      </w:r>
      <w:r>
        <w:t xml:space="preserve"> </w:t>
      </w:r>
      <w:r>
        <w:t xml:space="preserve">GHG Protocol Product Standard. Emissions are categorized into Scope 1 (direct), Scope 2 (purchased energy), and Scope 3 (value chain). The 2026 Land Sector and Removals (LSR) Standard is applied for land use and carbon removals, integrating considerations for biogenic carbon where relevant to avoid double-counting and accurately account for removals.</w:t>
      </w:r>
    </w:p>
    <w:p>
      <w:pPr>
        <w:numPr>
          <w:ilvl w:val="1"/>
          <w:numId w:val="1002"/>
        </w:numPr>
        <w:pStyle w:val="Compact"/>
      </w:pPr>
      <w:r>
        <w:rPr>
          <w:bCs/>
          <w:b/>
        </w:rPr>
        <w:t xml:space="preserve">Scope 3 Compliance:</w:t>
      </w:r>
      <w:r>
        <w:t xml:space="preserve"> </w:t>
      </w:r>
      <w:r>
        <w:t xml:space="preserve">This analysis aims for at least 95% coverage for Scope 3 reporting, in line with 2026 requirements, by comprehensively assessing upstream and downstream value chain emissions.</w:t>
      </w:r>
    </w:p>
    <w:p>
      <w:pPr>
        <w:numPr>
          <w:ilvl w:val="0"/>
          <w:numId w:val="1001"/>
        </w:numPr>
        <w:pStyle w:val="Compact"/>
      </w:pPr>
      <w:r>
        <w:rPr>
          <w:bCs/>
          <w:b/>
        </w:rPr>
        <w:t xml:space="preserve">Map Lifecycle (LCI inventory stages):</w:t>
      </w:r>
      <w:r>
        <w:t xml:space="preserve"> </w:t>
      </w:r>
      <w:r>
        <w:t xml:space="preserve">Identification of all relevant processes and flows throughout the product\'s life cycle, from raw material extraction, manufacturing, transport, use, to end-of-life.</w:t>
      </w:r>
    </w:p>
    <w:p>
      <w:pPr>
        <w:numPr>
          <w:ilvl w:val="0"/>
          <w:numId w:val="1001"/>
        </w:numPr>
        <w:pStyle w:val="Compact"/>
      </w:pPr>
      <w:r>
        <w:rPr>
          <w:bCs/>
          <w:b/>
        </w:rPr>
        <w:t xml:space="preserve">Collect Data (Primary/Secondary data points):</w:t>
      </w:r>
      <w:r>
        <w:t xml:space="preserve"> </w:t>
      </w:r>
      <w:r>
        <w:t xml:space="preserve">Gathering quantitative data for all identified processes, utilizing primary data where available (e.g., specific BOM) and secondary (industry-average) data for background processes and emission factors.</w:t>
      </w:r>
    </w:p>
    <w:p>
      <w:pPr>
        <w:numPr>
          <w:ilvl w:val="0"/>
          <w:numId w:val="1001"/>
        </w:numPr>
        <w:pStyle w:val="Compact"/>
      </w:pPr>
      <w:r>
        <w:rPr>
          <w:bCs/>
          <w:b/>
        </w:rPr>
        <w:t xml:space="preserve">Calculate Emissions (Activity * Emission Factor = CO2e):</w:t>
      </w:r>
      <w:r>
        <w:t xml:space="preserve"> </w:t>
      </w:r>
      <w:r>
        <w:t xml:space="preserve">Quantification of greenhouse gas emissions for each life cycle stage using appropriate emission factors.</w:t>
      </w:r>
    </w:p>
    <w:p>
      <w:pPr>
        <w:numPr>
          <w:ilvl w:val="0"/>
          <w:numId w:val="1001"/>
        </w:numPr>
        <w:pStyle w:val="Compact"/>
      </w:pPr>
      <w:r>
        <w:rPr>
          <w:bCs/>
          <w:b/>
        </w:rPr>
        <w:t xml:space="preserve">Review &amp; Report (Hotspots and reliability):</w:t>
      </w:r>
      <w:r>
        <w:t xml:space="preserve"> </w:t>
      </w:r>
      <w:r>
        <w:t xml:space="preserve">Identification of major emission sources (hotspots) and assessment of data quality and overall report reliability.</w:t>
      </w:r>
    </w:p>
    <w:p>
      <w:r>
        <w:pict>
          <v:rect style="width:0;height:1.5pt" o:hralign="center" o:hrstd="t" o:hr="t"/>
        </w:pict>
      </w:r>
    </w:p>
    <w:bookmarkEnd w:id="23"/>
    <w:bookmarkStart w:id="29" w:name="X1d1426294d4a71d4a8b05a20a15c429ed8ca4a6"/>
    <w:p>
      <w:pPr>
        <w:pStyle w:val="Heading2"/>
      </w:pPr>
      <w:r>
        <w:t xml:space="preserve">2. &amp; 3. Detailed Lifecycle Inventory: Data Collection and Mapping</w:t>
      </w:r>
    </w:p>
    <w:p>
      <w:pPr>
        <w:pStyle w:val="FirstParagraph"/>
      </w:pPr>
      <w:r>
        <w:t xml:space="preserve">This section details the primary and secondary data points collected and used for the lifecycle inventory, providing a high-accuracy material impact calculation based on the provided Bill of Materials (BOM) and energy customization data.</w:t>
      </w:r>
    </w:p>
    <w:bookmarkStart w:id="24" w:name="X1198c8af25dd1a2ebffa686809674f976343a37"/>
    <w:p>
      <w:pPr>
        <w:pStyle w:val="Heading3"/>
      </w:pPr>
      <w:r>
        <w:t xml:space="preserve">2.1. Material Acquisition &amp; Pre-processing (Scope 3 - Upstream)</w:t>
      </w:r>
    </w:p>
    <w:p>
      <w:pPr>
        <w:pStyle w:val="FirstParagraph"/>
      </w:pPr>
      <w:r>
        <w:t xml:space="preserve">The following Bill of Materials (BOM) for jitrpvewxs (ytfwqwkx) was used to calculate the material-related emissions. Each item\'s emission factor and total carbon footprint (kgCO2e) contributed directly to the upstream Scope 3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Component</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Emissions:</w:t>
            </w:r>
          </w:p>
        </w:tc>
        <w:tc>
          <w:tcPr/>
          <w:p>
            <w:pPr>
              <w:pStyle w:val="Compact"/>
              <w:jc w:val="left"/>
            </w:pPr>
            <w:r>
              <w:rPr>
                <w:bCs/>
                <w:b/>
              </w:rPr>
              <w:t xml:space="preserve">8.85</w:t>
            </w:r>
          </w:p>
        </w:tc>
      </w:tr>
    </w:tbl>
    <w:p>
      <w:pPr>
        <w:pStyle w:val="BodyText"/>
      </w:pPr>
      <w:r>
        <w:t xml:space="preserve">The total mass of materials used per functional unit is 1.8 kg.</w:t>
      </w:r>
    </w:p>
    <w:bookmarkEnd w:id="24"/>
    <w:bookmarkStart w:id="25" w:name="manufacturing-assembly-scope-1-2"/>
    <w:p>
      <w:pPr>
        <w:pStyle w:val="Heading3"/>
      </w:pPr>
      <w:r>
        <w:t xml:space="preserve">2.2. Manufacturing &amp; Assembly (Scope 1 &amp; 2)</w:t>
      </w:r>
    </w:p>
    <w:p>
      <w:pPr>
        <w:numPr>
          <w:ilvl w:val="0"/>
          <w:numId w:val="1003"/>
        </w:numPr>
        <w:pStyle w:val="Compact"/>
      </w:pPr>
      <w:r>
        <w:rPr>
          <w:bCs/>
          <w:b/>
        </w:rPr>
        <w:t xml:space="preserve">Energy Intensity (kWh/unit):</w:t>
      </w:r>
      <w:r>
        <w:t xml:space="preserve"> </w:t>
      </w:r>
      <w:r>
        <w:t xml:space="preserve">nqziuqhxef (2.5 kWh/unit)</w:t>
      </w:r>
    </w:p>
    <w:p>
      <w:pPr>
        <w:numPr>
          <w:ilvl w:val="0"/>
          <w:numId w:val="1003"/>
        </w:numPr>
        <w:pStyle w:val="Compact"/>
      </w:pPr>
      <w:r>
        <w:rPr>
          <w:bCs/>
          <w:b/>
        </w:rPr>
        <w:t xml:space="preserve">Renewable Energy Usage:</w:t>
      </w:r>
      <w:r>
        <w:t xml:space="preserve"> </w:t>
      </w:r>
      <w:r>
        <w:t xml:space="preserve">zkwdqxqzlx (50%)</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China Grid Electricity Emission Factor:</w:t>
      </w:r>
      <w:r>
        <w:t xml:space="preserve"> </w:t>
      </w:r>
      <w:r>
        <w:t xml:space="preserve">0.6205 kgCO2e/kWh (2023 National Average)</w:t>
      </w:r>
    </w:p>
    <w:p>
      <w:pPr>
        <w:numPr>
          <w:ilvl w:val="0"/>
          <w:numId w:val="1003"/>
        </w:numPr>
        <w:pStyle w:val="Compact"/>
      </w:pPr>
      <w:r>
        <w:rPr>
          <w:bCs/>
          <w:b/>
        </w:rPr>
        <w:t xml:space="preserve">Scope 1 Emissions (Direct):</w:t>
      </w:r>
      <w:r>
        <w:t xml:space="preserve"> </w:t>
      </w:r>
      <w:r>
        <w:t xml:space="preserve">Assumed negligible for direct fuel combustion on-site during manufacturing for this product, focusing primarily on purchased electricity.</w:t>
      </w:r>
    </w:p>
    <w:bookmarkEnd w:id="25"/>
    <w:bookmarkStart w:id="26" w:name="transport-scope-3---upstream-downstream"/>
    <w:p>
      <w:pPr>
        <w:pStyle w:val="Heading3"/>
      </w:pPr>
      <w:r>
        <w:t xml:space="preserve">2.3. Transport (Scope 3 - Upstream &amp; Downstream)</w:t>
      </w:r>
    </w:p>
    <w:p>
      <w:pPr>
        <w:numPr>
          <w:ilvl w:val="0"/>
          <w:numId w:val="1004"/>
        </w:numPr>
        <w:pStyle w:val="Compact"/>
      </w:pPr>
      <w:r>
        <w:rPr>
          <w:bCs/>
          <w:b/>
        </w:rPr>
        <w:t xml:space="preserve">Upstream Supply Chain Focus:</w:t>
      </w:r>
      <w:r>
        <w:t xml:space="preserve"> </w:t>
      </w:r>
      <w:r>
        <w:t xml:space="preserve">Europe to China (for raw materials).</w:t>
      </w:r>
    </w:p>
    <w:p>
      <w:pPr>
        <w:numPr>
          <w:ilvl w:val="1"/>
          <w:numId w:val="1005"/>
        </w:numPr>
        <w:pStyle w:val="Compact"/>
      </w:pPr>
      <w:r>
        <w:rPr>
          <w:bCs/>
          <w:b/>
        </w:rPr>
        <w:t xml:space="preserve">Assumed Average Distance:</w:t>
      </w:r>
      <w:r>
        <w:t xml:space="preserve"> </w:t>
      </w:r>
      <w:r>
        <w:t xml:space="preserve">8,000 km (for bulk ocean freight of materials).</w:t>
      </w:r>
    </w:p>
    <w:p>
      <w:pPr>
        <w:numPr>
          <w:ilvl w:val="1"/>
          <w:numId w:val="1005"/>
        </w:numPr>
        <w:pStyle w:val="Compact"/>
      </w:pPr>
      <w:r>
        <w:rPr>
          <w:bCs/>
          <w:b/>
        </w:rPr>
        <w:t xml:space="preserve">Primary Mode:</w:t>
      </w:r>
      <w:r>
        <w:t xml:space="preserve"> </w:t>
      </w:r>
      <w:r>
        <w:t xml:space="preserve">Ocean Freight.</w:t>
      </w:r>
    </w:p>
    <w:p>
      <w:pPr>
        <w:numPr>
          <w:ilvl w:val="1"/>
          <w:numId w:val="1005"/>
        </w:numPr>
        <w:pStyle w:val="Compact"/>
      </w:pPr>
      <w:r>
        <w:rPr>
          <w:bCs/>
          <w:b/>
        </w:rPr>
        <w:t xml:space="preserve">Ocean Freight Emission Factor:</w:t>
      </w:r>
      <w:r>
        <w:t xml:space="preserve"> </w:t>
      </w:r>
      <w:r>
        <w:t xml:space="preserve">0.01612 kgCO2e/tkm</w:t>
      </w:r>
    </w:p>
    <w:p>
      <w:pPr>
        <w:numPr>
          <w:ilvl w:val="0"/>
          <w:numId w:val="1004"/>
        </w:numPr>
        <w:pStyle w:val="Compact"/>
      </w:pPr>
      <w:r>
        <w:rPr>
          <w:bCs/>
          <w:b/>
        </w:rPr>
        <w:t xml:space="preserve">Downstream Transport (Finished Product from China to Customer):</w:t>
      </w:r>
    </w:p>
    <w:p>
      <w:pPr>
        <w:numPr>
          <w:ilvl w:val="1"/>
          <w:numId w:val="1006"/>
        </w:numPr>
        <w:pStyle w:val="Compact"/>
      </w:pPr>
      <w:r>
        <w:rPr>
          <w:bCs/>
          <w:b/>
        </w:rPr>
        <w:t xml:space="preserve">Main Transport Distance:</w:t>
      </w:r>
      <w:r>
        <w:t xml:space="preserve"> </w:t>
      </w:r>
      <w:r>
        <w:t xml:space="preserve">pmnpsnjssf (1500 km).</w:t>
      </w:r>
    </w:p>
    <w:p>
      <w:pPr>
        <w:numPr>
          <w:ilvl w:val="1"/>
          <w:numId w:val="1006"/>
        </w:numPr>
        <w:pStyle w:val="Compact"/>
      </w:pPr>
      <w:r>
        <w:rPr>
          <w:bCs/>
          <w:b/>
        </w:rPr>
        <w:t xml:space="preserve">Main Transport Mode:</w:t>
      </w:r>
      <w:r>
        <w:t xml:space="preserve"> </w:t>
      </w:r>
      <w:r>
        <w:t xml:space="preserve">Select Mode (Road Freight - Heavy Goods Vehicle (HGV)).</w:t>
      </w:r>
    </w:p>
    <w:p>
      <w:pPr>
        <w:numPr>
          <w:ilvl w:val="1"/>
          <w:numId w:val="1006"/>
        </w:numPr>
        <w:pStyle w:val="Compact"/>
      </w:pPr>
      <w:r>
        <w:rPr>
          <w:bCs/>
          <w:b/>
        </w:rPr>
        <w:t xml:space="preserve">Road Freight Emission Factor:</w:t>
      </w:r>
      <w:r>
        <w:t xml:space="preserve"> </w:t>
      </w:r>
      <w:r>
        <w:t xml:space="preserve">0.1 kgCO2e/tkm</w:t>
      </w:r>
    </w:p>
    <w:p>
      <w:pPr>
        <w:numPr>
          <w:ilvl w:val="1"/>
          <w:numId w:val="1006"/>
        </w:numPr>
        <w:pStyle w:val="Compact"/>
      </w:pPr>
      <w:r>
        <w:rPr>
          <w:bCs/>
          <w:b/>
        </w:rPr>
        <w:t xml:space="preserve">Last-Mile Delivery Channel:</w:t>
      </w:r>
      <w:r>
        <w:t xml:space="preserve"> </w:t>
      </w:r>
      <w:r>
        <w:t xml:space="preserve">Delivery Type (Van Delivery).</w:t>
      </w:r>
    </w:p>
    <w:p>
      <w:pPr>
        <w:numPr>
          <w:ilvl w:val="1"/>
          <w:numId w:val="1006"/>
        </w:numPr>
        <w:pStyle w:val="Compact"/>
      </w:pPr>
      <w:r>
        <w:rPr>
          <w:bCs/>
          <w:b/>
        </w:rPr>
        <w:t xml:space="preserve">Last-Mile Delivery Emission Factor:</w:t>
      </w:r>
      <w:r>
        <w:t xml:space="preserve"> </w:t>
      </w:r>
      <w:r>
        <w:t xml:space="preserve">0.1 kgCO2e/delivery (Assumed for typical van delivery of a single unit).</w:t>
      </w:r>
    </w:p>
    <w:p>
      <w:pPr>
        <w:numPr>
          <w:ilvl w:val="0"/>
          <w:numId w:val="1004"/>
        </w:numPr>
        <w:pStyle w:val="Compact"/>
      </w:pPr>
      <w:r>
        <w:rPr>
          <w:bCs/>
          <w:b/>
        </w:rPr>
        <w:t xml:space="preserve">Product Weight for Transport:</w:t>
      </w:r>
      <w:r>
        <w:t xml:space="preserve"> </w:t>
      </w:r>
      <w:r>
        <w:t xml:space="preserve">1.8 kg (0.0018 tonnes).</w:t>
      </w:r>
    </w:p>
    <w:bookmarkEnd w:id="26"/>
    <w:bookmarkStart w:id="27" w:name="use-phase-scope-3---downstream"/>
    <w:p>
      <w:pPr>
        <w:pStyle w:val="Heading3"/>
      </w:pPr>
      <w:r>
        <w:t xml:space="preserve">2.4. Use Phase (Scope 3 - Downstream)</w:t>
      </w:r>
    </w:p>
    <w:p>
      <w:pPr>
        <w:numPr>
          <w:ilvl w:val="0"/>
          <w:numId w:val="1007"/>
        </w:numPr>
        <w:pStyle w:val="Compact"/>
      </w:pPr>
      <w:r>
        <w:rPr>
          <w:bCs/>
          <w:b/>
        </w:rPr>
        <w:t xml:space="preserve">Product Lifespan:</w:t>
      </w:r>
      <w:r>
        <w:t xml:space="preserve"> </w:t>
      </w:r>
      <w:r>
        <w:t xml:space="preserve">udoxrsukyw (5 years)</w:t>
      </w:r>
    </w:p>
    <w:p>
      <w:pPr>
        <w:numPr>
          <w:ilvl w:val="0"/>
          <w:numId w:val="1007"/>
        </w:numPr>
        <w:pStyle w:val="Compact"/>
      </w:pPr>
      <w:r>
        <w:rPr>
          <w:bCs/>
          <w:b/>
        </w:rPr>
        <w:t xml:space="preserve">Energy Consumption in Use:</w:t>
      </w:r>
      <w:r>
        <w:t xml:space="preserve"> </w:t>
      </w:r>
      <w:r>
        <w:t xml:space="preserve">vehipfyppt (15 kWh/year)</w:t>
      </w:r>
    </w:p>
    <w:p>
      <w:pPr>
        <w:numPr>
          <w:ilvl w:val="0"/>
          <w:numId w:val="1007"/>
        </w:numPr>
        <w:pStyle w:val="Compact"/>
      </w:pPr>
      <w:r>
        <w:rPr>
          <w:bCs/>
          <w:b/>
        </w:rPr>
        <w:t xml:space="preserve">End-user Grid Electricity Emission Factor:</w:t>
      </w:r>
      <w:r>
        <w:t xml:space="preserve"> </w:t>
      </w:r>
      <w:r>
        <w:t xml:space="preserve">0.242 kgCO2e/kWh (EU-27 average for 2023, as a proxy for a typical developed market end-user)</w:t>
      </w:r>
    </w:p>
    <w:bookmarkEnd w:id="27"/>
    <w:bookmarkStart w:id="28" w:name="X92fbc61eed99b9d9aafbebcbbd2c7ad7660f7e4"/>
    <w:p>
      <w:pPr>
        <w:pStyle w:val="Heading3"/>
      </w:pPr>
      <w:r>
        <w:t xml:space="preserve">2.5. End-of-Life (EoL) Phase (Scope 3 - Downstream)</w:t>
      </w:r>
    </w:p>
    <w:p>
      <w:pPr>
        <w:numPr>
          <w:ilvl w:val="0"/>
          <w:numId w:val="1008"/>
        </w:numPr>
        <w:pStyle w:val="Compact"/>
      </w:pPr>
      <w:r>
        <w:rPr>
          <w:bCs/>
          <w:b/>
        </w:rPr>
        <w:t xml:space="preserve">Recyclability Percentage:</w:t>
      </w:r>
      <w:r>
        <w:t xml:space="preserve"> </w:t>
      </w:r>
      <w:r>
        <w:t xml:space="preserve">hvpywitffv (70%)</w:t>
      </w:r>
    </w:p>
    <w:p>
      <w:pPr>
        <w:numPr>
          <w:ilvl w:val="0"/>
          <w:numId w:val="1008"/>
        </w:numPr>
        <w:pStyle w:val="Compact"/>
      </w:pPr>
      <w:r>
        <w:rPr>
          <w:bCs/>
          <w:b/>
        </w:rPr>
        <w:t xml:space="preserve">Circular/Take-back Programs:</w:t>
      </w:r>
      <w:r>
        <w:t xml:space="preserve"> </w:t>
      </w:r>
      <w:r>
        <w:t xml:space="preserve">xxywsseope ("Product refurbishment and component reuse program in place.")</w:t>
      </w:r>
    </w:p>
    <w:p>
      <w:pPr>
        <w:numPr>
          <w:ilvl w:val="0"/>
          <w:numId w:val="1008"/>
        </w:numPr>
        <w:pStyle w:val="Compact"/>
      </w:pPr>
      <w:r>
        <w:rPr>
          <w:bCs/>
          <w:b/>
        </w:rPr>
        <w:t xml:space="preserve">Waste to Landfill Emission Factor (Mixed Waste):</w:t>
      </w:r>
      <w:r>
        <w:t xml:space="preserve"> </w:t>
      </w:r>
      <w:r>
        <w:t xml:space="preserve">0.15 kgCO2e/kg (mid-range assumption based on conventional landfilling without full energy recovery or carbon binding credits)</w:t>
      </w:r>
    </w:p>
    <w:p>
      <w:r>
        <w:pict>
          <v:rect style="width:0;height:1.5pt" o:hralign="center" o:hrstd="t" o:hr="t"/>
        </w:pict>
      </w:r>
    </w:p>
    <w:bookmarkEnd w:id="28"/>
    <w:bookmarkEnd w:id="29"/>
    <w:bookmarkStart w:id="35" w:name="emission-calculations-co2e"/>
    <w:p>
      <w:pPr>
        <w:pStyle w:val="Heading2"/>
      </w:pPr>
      <w:r>
        <w:t xml:space="preserve">4. Emission Calculations (CO2e)</w:t>
      </w:r>
    </w:p>
    <w:p>
      <w:pPr>
        <w:pStyle w:val="FirstParagraph"/>
      </w:pPr>
      <w:r>
        <w:t xml:space="preserve">Emissions are calculated per functional unit (1.0 unit of jitrpvewxs) and categorized according to the GHG Protocol. All figures are in kgCO2e.</w:t>
      </w:r>
    </w:p>
    <w:bookmarkStart w:id="30" w:name="X770cbcb9a58b43fef1c6f5e341412f63859b45c"/>
    <w:p>
      <w:pPr>
        <w:pStyle w:val="Heading3"/>
      </w:pPr>
      <w:r>
        <w:t xml:space="preserve">4.1. Material Acquisition &amp; Pre-processing (Scope 3 - Upstream)</w:t>
      </w:r>
    </w:p>
    <w:p>
      <w:pPr>
        <w:pStyle w:val="FirstParagraph"/>
      </w:pPr>
      <w:r>
        <w:t xml:space="preserve">This accounts for the emissions associated with the extraction, processing, and manufacturing of raw materials prior to their use in jitrpvewxs.</w:t>
      </w:r>
    </w:p>
    <w:p>
      <w:pPr>
        <w:numPr>
          <w:ilvl w:val="0"/>
          <w:numId w:val="1009"/>
        </w:numPr>
        <w:pStyle w:val="Compact"/>
      </w:pPr>
      <w:r>
        <w:rPr>
          <w:bCs/>
          <w:b/>
        </w:rPr>
        <w:t xml:space="preserve">Total Material Emissions:</w:t>
      </w:r>
      <w:r>
        <w:t xml:space="preserve"> </w:t>
      </w:r>
      <w:r>
        <w:t xml:space="preserve">8.85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8.85</w:t>
            </w:r>
          </w:p>
        </w:tc>
      </w:tr>
    </w:tbl>
    <w:bookmarkEnd w:id="30"/>
    <w:bookmarkStart w:id="31" w:name="manufacturing-assembly"/>
    <w:p>
      <w:pPr>
        <w:pStyle w:val="Heading3"/>
      </w:pPr>
      <w:r>
        <w:t xml:space="preserve">4.2. Manufacturing &amp; Assembly</w:t>
      </w:r>
    </w:p>
    <w:p>
      <w:pPr>
        <w:pStyle w:val="FirstParagraph"/>
      </w:pPr>
      <w:r>
        <w:t xml:space="preserve">This phase covers the energy consumed during the production of jitrpvewxs in China, considering the company\'s renewable energy usage.</w:t>
      </w:r>
    </w:p>
    <w:p>
      <w:pPr>
        <w:numPr>
          <w:ilvl w:val="0"/>
          <w:numId w:val="1010"/>
        </w:numPr>
        <w:pStyle w:val="Compact"/>
      </w:pPr>
      <w:r>
        <w:rPr>
          <w:bCs/>
          <w:b/>
        </w:rPr>
        <w:t xml:space="preserve">Scope 1 (Direct Emissions):</w:t>
      </w:r>
      <w:r>
        <w:t xml:space="preserve"> </w:t>
      </w:r>
      <w:r>
        <w:t xml:space="preserve">0.00 kgCO2e (Assumed negligible, no direct fuel combustion reported for production process).</w:t>
      </w:r>
    </w:p>
    <w:p>
      <w:pPr>
        <w:numPr>
          <w:ilvl w:val="0"/>
          <w:numId w:val="1010"/>
        </w:numPr>
        <w:pStyle w:val="Compact"/>
      </w:pPr>
      <w:r>
        <w:rPr>
          <w:bCs/>
          <w:b/>
        </w:rPr>
        <w:t xml:space="preserve">Scope 2 (Purchased Electricity):</w:t>
      </w:r>
    </w:p>
    <w:p>
      <w:pPr>
        <w:numPr>
          <w:ilvl w:val="1"/>
          <w:numId w:val="1011"/>
        </w:numPr>
        <w:pStyle w:val="Compact"/>
      </w:pPr>
      <w:r>
        <w:t xml:space="preserve">Energy Consumption: 2.5 kWh/unit [cite: nqziuqhxef]</w:t>
      </w:r>
    </w:p>
    <w:p>
      <w:pPr>
        <w:numPr>
          <w:ilvl w:val="1"/>
          <w:numId w:val="1011"/>
        </w:numPr>
        <w:pStyle w:val="Compact"/>
      </w:pPr>
      <w:r>
        <w:t xml:space="preserve">Grid Emission Factor (China): 0.6205 kgCO2e/kWh</w:t>
      </w:r>
    </w:p>
    <w:p>
      <w:pPr>
        <w:numPr>
          <w:ilvl w:val="1"/>
          <w:numId w:val="1011"/>
        </w:numPr>
        <w:pStyle w:val="Compact"/>
      </w:pPr>
      <w:r>
        <w:t xml:space="preserve">Renewable Energy Usage: 50% [cite: zkwdqxqzlx]</w:t>
      </w:r>
    </w:p>
    <w:p>
      <w:pPr>
        <w:numPr>
          <w:ilvl w:val="1"/>
          <w:numId w:val="1011"/>
        </w:numPr>
        <w:pStyle w:val="Compact"/>
      </w:pPr>
      <w:r>
        <w:t xml:space="preserve">Calculation: 2.5 kWh/unit * 0.6205 kgCO2e/kWh * (1 - 0.50) = 0.775625 kgCO2e/unit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0.78</w:t>
            </w:r>
          </w:p>
        </w:tc>
      </w:tr>
    </w:tbl>
    <w:bookmarkEnd w:id="31"/>
    <w:bookmarkStart w:id="32" w:name="X7a22b29e66bc9b448d643a0de4df2cb965e474c"/>
    <w:p>
      <w:pPr>
        <w:pStyle w:val="Heading3"/>
      </w:pPr>
      <w:r>
        <w:t xml:space="preserve">4.3. Transport (Scope 3 - Upstream &amp; Downstream)</w:t>
      </w:r>
    </w:p>
    <w:p>
      <w:pPr>
        <w:pStyle w:val="FirstParagraph"/>
      </w:pPr>
      <w:r>
        <w:t xml:space="preserve">This includes emissions from transporting raw materials from Europe to the manufacturing facility in China, and then the finished product to the customer.</w:t>
      </w:r>
    </w:p>
    <w:p>
      <w:pPr>
        <w:numPr>
          <w:ilvl w:val="0"/>
          <w:numId w:val="1012"/>
        </w:numPr>
        <w:pStyle w:val="Compact"/>
      </w:pPr>
      <w:r>
        <w:rPr>
          <w:bCs/>
          <w:b/>
        </w:rPr>
        <w:t xml:space="preserve">Upstream Transport (Materials from Europe to China):</w:t>
      </w:r>
    </w:p>
    <w:p>
      <w:pPr>
        <w:numPr>
          <w:ilvl w:val="1"/>
          <w:numId w:val="1013"/>
        </w:numPr>
        <w:pStyle w:val="Compact"/>
      </w:pPr>
      <w:r>
        <w:t xml:space="preserve">Product Mass: 0.0018 tonnes</w:t>
      </w:r>
    </w:p>
    <w:p>
      <w:pPr>
        <w:numPr>
          <w:ilvl w:val="1"/>
          <w:numId w:val="1013"/>
        </w:numPr>
        <w:pStyle w:val="Compact"/>
      </w:pPr>
      <w:r>
        <w:t xml:space="preserve">Assumed Distance: 8,000 km</w:t>
      </w:r>
    </w:p>
    <w:p>
      <w:pPr>
        <w:numPr>
          <w:ilvl w:val="1"/>
          <w:numId w:val="1013"/>
        </w:numPr>
        <w:pStyle w:val="Compact"/>
      </w:pPr>
      <w:r>
        <w:t xml:space="preserve">Ocean Freight EF: 0.01612 kgCO2e/tkm</w:t>
      </w:r>
    </w:p>
    <w:p>
      <w:pPr>
        <w:numPr>
          <w:ilvl w:val="1"/>
          <w:numId w:val="1013"/>
        </w:numPr>
        <w:pStyle w:val="Compact"/>
      </w:pPr>
      <w:r>
        <w:t xml:space="preserve">Calculation: 0.0018 t * 8000 km * 0.01612 kgCO2e/tkm = 0.232128 kgCO2e/unit</w:t>
      </w:r>
    </w:p>
    <w:p>
      <w:pPr>
        <w:numPr>
          <w:ilvl w:val="0"/>
          <w:numId w:val="1012"/>
        </w:numPr>
        <w:pStyle w:val="Compact"/>
      </w:pPr>
      <w:r>
        <w:rPr>
          <w:bCs/>
          <w:b/>
        </w:rPr>
        <w:t xml:space="preserve">Downstream Transport (Finished Product to Customer):</w:t>
      </w:r>
    </w:p>
    <w:p>
      <w:pPr>
        <w:numPr>
          <w:ilvl w:val="1"/>
          <w:numId w:val="1014"/>
        </w:numPr>
        <w:pStyle w:val="Compact"/>
      </w:pPr>
      <w:r>
        <w:t xml:space="preserve">Main Leg (Road Freight): 1500 km [cite: pmnpsnjssf]</w:t>
      </w:r>
    </w:p>
    <w:p>
      <w:pPr>
        <w:numPr>
          <w:ilvl w:val="1"/>
          <w:numId w:val="1014"/>
        </w:numPr>
        <w:pStyle w:val="Compact"/>
      </w:pPr>
      <w:r>
        <w:t xml:space="preserve">Road Freight EF: 0.1 kgCO2e/tkm</w:t>
      </w:r>
    </w:p>
    <w:p>
      <w:pPr>
        <w:numPr>
          <w:ilvl w:val="1"/>
          <w:numId w:val="1014"/>
        </w:numPr>
        <w:pStyle w:val="Compact"/>
      </w:pPr>
      <w:r>
        <w:t xml:space="preserve">Calculation: 0.0018 t * 1500 km * 0.1 kgCO2e/tkm = 0.27 kgCO2e/unit</w:t>
      </w:r>
    </w:p>
    <w:p>
      <w:pPr>
        <w:numPr>
          <w:ilvl w:val="1"/>
          <w:numId w:val="1014"/>
        </w:numPr>
        <w:pStyle w:val="Compact"/>
      </w:pPr>
      <w:r>
        <w:t xml:space="preserve">Last-Mile Delivery (Van): 0.1 kgCO2e/delivery (Assumed)</w:t>
      </w:r>
    </w:p>
    <w:p>
      <w:pPr>
        <w:numPr>
          <w:ilvl w:val="1"/>
          <w:numId w:val="1014"/>
        </w:numPr>
        <w:pStyle w:val="Compact"/>
      </w:pPr>
      <w:r>
        <w:t xml:space="preserve">Total Downstream: 0.27 + 0.1 = 0.37 kgCO2e/unit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3</w:t>
            </w:r>
          </w:p>
        </w:tc>
        <w:tc>
          <w:tcPr/>
          <w:p>
            <w:pPr>
              <w:pStyle w:val="Compact"/>
              <w:jc w:val="left"/>
            </w:pPr>
            <w:r>
              <w:t xml:space="preserve">Upstream Transport (Materials)</w:t>
            </w:r>
          </w:p>
        </w:tc>
        <w:tc>
          <w:tcPr/>
          <w:p>
            <w:pPr>
              <w:pStyle w:val="Compact"/>
              <w:jc w:val="left"/>
            </w:pPr>
            <w:r>
              <w:t xml:space="preserve">0.23</w:t>
            </w:r>
          </w:p>
        </w:tc>
      </w:tr>
      <w:tr>
        <w:tc>
          <w:tcPr/>
          <w:p>
            <w:pPr>
              <w:pStyle w:val="Compact"/>
              <w:jc w:val="left"/>
            </w:pPr>
            <w:r>
              <w:t xml:space="preserve">Scope 3</w:t>
            </w:r>
          </w:p>
        </w:tc>
        <w:tc>
          <w:tcPr/>
          <w:p>
            <w:pPr>
              <w:pStyle w:val="Compact"/>
              <w:jc w:val="left"/>
            </w:pPr>
            <w:r>
              <w:t xml:space="preserve">Downstream Transport (Finished Product)</w:t>
            </w:r>
          </w:p>
        </w:tc>
        <w:tc>
          <w:tcPr/>
          <w:p>
            <w:pPr>
              <w:pStyle w:val="Compact"/>
              <w:jc w:val="left"/>
            </w:pPr>
            <w:r>
              <w:t xml:space="preserve">0.37</w:t>
            </w:r>
          </w:p>
        </w:tc>
      </w:tr>
      <w:tr>
        <w:tc>
          <w:tcPr>
            <w:gridSpan w:val="2"/>
          </w:tcPr>
          <w:p>
            <w:pPr>
              <w:pStyle w:val="Compact"/>
              <w:jc w:val="right"/>
            </w:pPr>
            <w:r>
              <w:rPr>
                <w:bCs/>
                <w:b/>
              </w:rPr>
              <w:t xml:space="preserve">Total Transport Emissions:</w:t>
            </w:r>
          </w:p>
        </w:tc>
        <w:tc>
          <w:tcPr/>
          <w:p>
            <w:pPr>
              <w:pStyle w:val="Compact"/>
              <w:jc w:val="left"/>
            </w:pPr>
            <w:r>
              <w:rPr>
                <w:bCs/>
                <w:b/>
              </w:rPr>
              <w:t xml:space="preserve">0.60</w:t>
            </w:r>
          </w:p>
        </w:tc>
      </w:tr>
    </w:tbl>
    <w:bookmarkEnd w:id="32"/>
    <w:bookmarkStart w:id="33" w:name="use-phase-scope-3---downstream-1"/>
    <w:p>
      <w:pPr>
        <w:pStyle w:val="Heading3"/>
      </w:pPr>
      <w:r>
        <w:t xml:space="preserve">4.4. Use Phase (Scope 3 - Downstream)</w:t>
      </w:r>
    </w:p>
    <w:p>
      <w:pPr>
        <w:pStyle w:val="FirstParagraph"/>
      </w:pPr>
      <w:r>
        <w:t xml:space="preserve">Emissions generated during the product\'s lifespan due to its energy consumption by the end-user.</w:t>
      </w:r>
    </w:p>
    <w:p>
      <w:pPr>
        <w:numPr>
          <w:ilvl w:val="0"/>
          <w:numId w:val="1015"/>
        </w:numPr>
        <w:pStyle w:val="Compact"/>
      </w:pPr>
      <w:r>
        <w:rPr>
          <w:bCs/>
          <w:b/>
        </w:rPr>
        <w:t xml:space="preserve">Product Lifespan:</w:t>
      </w:r>
      <w:r>
        <w:t xml:space="preserve"> </w:t>
      </w:r>
      <w:r>
        <w:t xml:space="preserve">5 years [cite: udoxrsukyw]</w:t>
      </w:r>
    </w:p>
    <w:p>
      <w:pPr>
        <w:numPr>
          <w:ilvl w:val="0"/>
          <w:numId w:val="1015"/>
        </w:numPr>
        <w:pStyle w:val="Compact"/>
      </w:pPr>
      <w:r>
        <w:rPr>
          <w:bCs/>
          <w:b/>
        </w:rPr>
        <w:t xml:space="preserve">Energy Consumption:</w:t>
      </w:r>
      <w:r>
        <w:t xml:space="preserve"> </w:t>
      </w:r>
      <w:r>
        <w:t xml:space="preserve">15 kWh/year [cite: vehipfyppt]</w:t>
      </w:r>
    </w:p>
    <w:p>
      <w:pPr>
        <w:numPr>
          <w:ilvl w:val="0"/>
          <w:numId w:val="1015"/>
        </w:numPr>
        <w:pStyle w:val="Compact"/>
      </w:pPr>
      <w:r>
        <w:rPr>
          <w:bCs/>
          <w:b/>
        </w:rPr>
        <w:t xml:space="preserve">Total Energy:</w:t>
      </w:r>
      <w:r>
        <w:t xml:space="preserve"> </w:t>
      </w:r>
      <w:r>
        <w:t xml:space="preserve">15 kWh/year * 5 years = 75 kWh</w:t>
      </w:r>
    </w:p>
    <w:p>
      <w:pPr>
        <w:numPr>
          <w:ilvl w:val="0"/>
          <w:numId w:val="1015"/>
        </w:numPr>
        <w:pStyle w:val="Compact"/>
      </w:pPr>
      <w:r>
        <w:rPr>
          <w:bCs/>
          <w:b/>
        </w:rPr>
        <w:t xml:space="preserve">End-user Grid EF (EU Average):</w:t>
      </w:r>
      <w:r>
        <w:t xml:space="preserve"> </w:t>
      </w:r>
      <w:r>
        <w:t xml:space="preserve">0.242 kgCO2e/kWh</w:t>
      </w:r>
    </w:p>
    <w:p>
      <w:pPr>
        <w:numPr>
          <w:ilvl w:val="0"/>
          <w:numId w:val="1015"/>
        </w:numPr>
        <w:pStyle w:val="Compact"/>
      </w:pPr>
      <w:r>
        <w:rPr>
          <w:bCs/>
          <w:b/>
        </w:rPr>
        <w:t xml:space="preserve">Calculation:</w:t>
      </w:r>
      <w:r>
        <w:t xml:space="preserve"> </w:t>
      </w:r>
      <w:r>
        <w:t xml:space="preserve">75 kWh * 0.242 kgCO2e/kWh = 18.15 kgCO2e/unit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3</w:t>
            </w:r>
          </w:p>
        </w:tc>
        <w:tc>
          <w:tcPr/>
          <w:p>
            <w:pPr>
              <w:pStyle w:val="Compact"/>
              <w:jc w:val="left"/>
            </w:pPr>
            <w:r>
              <w:t xml:space="preserve">Use of Sold Products</w:t>
            </w:r>
          </w:p>
        </w:tc>
        <w:tc>
          <w:tcPr/>
          <w:p>
            <w:pPr>
              <w:pStyle w:val="Compact"/>
              <w:jc w:val="left"/>
            </w:pPr>
            <w:r>
              <w:t xml:space="preserve">18.15</w:t>
            </w:r>
          </w:p>
        </w:tc>
      </w:tr>
    </w:tbl>
    <w:bookmarkEnd w:id="33"/>
    <w:bookmarkStart w:id="34" w:name="Xa847c92a1ee2b79049a6ec8de7037aa5e637d16"/>
    <w:p>
      <w:pPr>
        <w:pStyle w:val="Heading3"/>
      </w:pPr>
      <w:r>
        <w:t xml:space="preserve">4.5. End-of-Life (EoL) Phase (Scope 3 - Downstream)</w:t>
      </w:r>
    </w:p>
    <w:p>
      <w:pPr>
        <w:pStyle w:val="FirstParagraph"/>
      </w:pPr>
      <w:r>
        <w:t xml:space="preserve">Emissions from the disposal of the product at the end of its life, considering recyclability and circular economy initiatives.</w:t>
      </w:r>
    </w:p>
    <w:p>
      <w:pPr>
        <w:numPr>
          <w:ilvl w:val="0"/>
          <w:numId w:val="1016"/>
        </w:numPr>
        <w:pStyle w:val="Compact"/>
      </w:pPr>
      <w:r>
        <w:rPr>
          <w:bCs/>
          <w:b/>
        </w:rPr>
        <w:t xml:space="preserve">Product Mass for EoL:</w:t>
      </w:r>
      <w:r>
        <w:t xml:space="preserve"> </w:t>
      </w:r>
      <w:r>
        <w:t xml:space="preserve">1.8 kg</w:t>
      </w:r>
    </w:p>
    <w:p>
      <w:pPr>
        <w:numPr>
          <w:ilvl w:val="0"/>
          <w:numId w:val="1016"/>
        </w:numPr>
        <w:pStyle w:val="Compact"/>
      </w:pPr>
      <w:r>
        <w:rPr>
          <w:bCs/>
          <w:b/>
        </w:rPr>
        <w:t xml:space="preserve">Recyclability:</w:t>
      </w:r>
      <w:r>
        <w:t xml:space="preserve"> </w:t>
      </w:r>
      <w:r>
        <w:t xml:space="preserve">70% [cite: hvpywitffv]</w:t>
      </w:r>
    </w:p>
    <w:p>
      <w:pPr>
        <w:numPr>
          <w:ilvl w:val="0"/>
          <w:numId w:val="1016"/>
        </w:numPr>
        <w:pStyle w:val="Compact"/>
      </w:pPr>
      <w:r>
        <w:rPr>
          <w:bCs/>
          <w:b/>
        </w:rPr>
        <w:t xml:space="preserve">Mass to Landfill:</w:t>
      </w:r>
      <w:r>
        <w:t xml:space="preserve"> </w:t>
      </w:r>
      <w:r>
        <w:t xml:space="preserve">1.8 kg * (1 - 0.70) = 0.54 kg</w:t>
      </w:r>
    </w:p>
    <w:p>
      <w:pPr>
        <w:numPr>
          <w:ilvl w:val="0"/>
          <w:numId w:val="1016"/>
        </w:numPr>
        <w:pStyle w:val="Compact"/>
      </w:pPr>
      <w:r>
        <w:rPr>
          <w:bCs/>
          <w:b/>
        </w:rPr>
        <w:t xml:space="preserve">Landfill Emission Factor:</w:t>
      </w:r>
      <w:r>
        <w:t xml:space="preserve"> </w:t>
      </w:r>
      <w:r>
        <w:t xml:space="preserve">0.15 kgCO2e/kg (Assumed mid-range)</w:t>
      </w:r>
    </w:p>
    <w:p>
      <w:pPr>
        <w:numPr>
          <w:ilvl w:val="0"/>
          <w:numId w:val="1016"/>
        </w:numPr>
        <w:pStyle w:val="Compact"/>
      </w:pPr>
      <w:r>
        <w:rPr>
          <w:bCs/>
          <w:b/>
        </w:rPr>
        <w:t xml:space="preserve">Calculation:</w:t>
      </w:r>
      <w:r>
        <w:t xml:space="preserve"> </w:t>
      </w:r>
      <w:r>
        <w:t xml:space="preserve">0.54 kg * 0.15 kgCO2e/kg = 0.081 kgCO2e/unit</w:t>
      </w:r>
    </w:p>
    <w:p>
      <w:pPr>
        <w:numPr>
          <w:ilvl w:val="0"/>
          <w:numId w:val="1016"/>
        </w:numPr>
        <w:pStyle w:val="Compact"/>
      </w:pPr>
      <w:r>
        <w:rPr>
          <w:bCs/>
          <w:b/>
        </w:rPr>
        <w:t xml:space="preserve">Circular/Take-back Programs:</w:t>
      </w:r>
      <w:r>
        <w:t xml:space="preserve"> </w:t>
      </w:r>
      <w:r>
        <w:t xml:space="preserve">"Product refurbishment and component reuse program in place." [cite: xxywsseope] (Note: Specific avoided emissions from these programs are not quantified due to lack of detailed data but are acknowledged as beneficial.)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3</w:t>
            </w:r>
          </w:p>
        </w:tc>
        <w:tc>
          <w:tcPr/>
          <w:p>
            <w:pPr>
              <w:pStyle w:val="Compact"/>
              <w:jc w:val="left"/>
            </w:pPr>
            <w:r>
              <w:t xml:space="preserve">End-of-Life Treatment of Sold Products</w:t>
            </w:r>
          </w:p>
        </w:tc>
        <w:tc>
          <w:tcPr/>
          <w:p>
            <w:pPr>
              <w:pStyle w:val="Compact"/>
              <w:jc w:val="left"/>
            </w:pPr>
            <w:r>
              <w:t xml:space="preserve">0.08</w:t>
            </w:r>
          </w:p>
        </w:tc>
      </w:tr>
    </w:tbl>
    <w:p>
      <w:r>
        <w:pict>
          <v:rect style="width:0;height:1.5pt" o:hralign="center" o:hrstd="t" o:hr="t"/>
        </w:pict>
      </w:r>
    </w:p>
    <w:bookmarkEnd w:id="34"/>
    <w:bookmarkEnd w:id="35"/>
    <w:bookmarkStart w:id="36" w:name="total-product-carbon-footprint"/>
    <w:p>
      <w:pPr>
        <w:pStyle w:val="Heading2"/>
      </w:pPr>
      <w:r>
        <w:t xml:space="preserve">Total Product Carbon Footprint</w:t>
      </w:r>
    </w:p>
    <w:p>
      <w:pPr>
        <w:pStyle w:val="FirstParagraph"/>
      </w:pPr>
      <w:r>
        <w:t xml:space="preserve">The sum of emissions across all life cycle stages for one functional unit of jitrpvewxs 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w:t>
            </w:r>
          </w:p>
        </w:tc>
        <w:tc>
          <w:tcPr/>
          <w:p>
            <w:pPr>
              <w:pStyle w:val="Compact"/>
              <w:jc w:val="left"/>
            </w:pPr>
            <w:r>
              <w:t xml:space="preserve">8.85</w:t>
            </w:r>
          </w:p>
        </w:tc>
      </w:tr>
      <w:tr>
        <w:tc>
          <w:tcPr/>
          <w:p>
            <w:pPr>
              <w:pStyle w:val="Compact"/>
              <w:jc w:val="left"/>
            </w:pPr>
            <w:r>
              <w:t xml:space="preserve">Manufacturing &amp; Assembly</w:t>
            </w:r>
          </w:p>
        </w:tc>
        <w:tc>
          <w:tcPr/>
          <w:p>
            <w:pPr>
              <w:pStyle w:val="Compact"/>
              <w:jc w:val="left"/>
            </w:pPr>
            <w:r>
              <w:t xml:space="preserve">Scope 1 &amp; 2</w:t>
            </w:r>
          </w:p>
        </w:tc>
        <w:tc>
          <w:tcPr/>
          <w:p>
            <w:pPr>
              <w:pStyle w:val="Compact"/>
              <w:jc w:val="left"/>
            </w:pPr>
            <w:r>
              <w:t xml:space="preserve">0.78</w:t>
            </w:r>
          </w:p>
        </w:tc>
      </w:tr>
      <w:tr>
        <w:tc>
          <w:tcPr/>
          <w:p>
            <w:pPr>
              <w:pStyle w:val="Compact"/>
              <w:jc w:val="left"/>
            </w:pPr>
            <w:r>
              <w:t xml:space="preserve">Transport</w:t>
            </w:r>
          </w:p>
        </w:tc>
        <w:tc>
          <w:tcPr/>
          <w:p>
            <w:pPr>
              <w:pStyle w:val="Compact"/>
              <w:jc w:val="left"/>
            </w:pPr>
            <w:r>
              <w:t xml:space="preserve">Scope 3</w:t>
            </w:r>
          </w:p>
        </w:tc>
        <w:tc>
          <w:tcPr/>
          <w:p>
            <w:pPr>
              <w:pStyle w:val="Compact"/>
              <w:jc w:val="left"/>
            </w:pPr>
            <w:r>
              <w:t xml:space="preserve">0.60</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18.15</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0.08</w:t>
            </w:r>
          </w:p>
        </w:tc>
      </w:tr>
      <w:tr>
        <w:tc>
          <w:tcPr>
            <w:gridSpan w:val="2"/>
          </w:tcPr>
          <w:p>
            <w:pPr>
              <w:pStyle w:val="Compact"/>
              <w:jc w:val="right"/>
            </w:pPr>
            <w:r>
              <w:rPr>
                <w:bCs/>
                <w:b/>
              </w:rPr>
              <w:t xml:space="preserve">TOTAL PRODUCT CARBON FOOTPRINT (per 1.0 unit of jitrpvewxs):</w:t>
            </w:r>
          </w:p>
        </w:tc>
        <w:tc>
          <w:tcPr/>
          <w:p>
            <w:pPr>
              <w:pStyle w:val="Compact"/>
              <w:jc w:val="left"/>
            </w:pPr>
            <w:r>
              <w:rPr>
                <w:bCs/>
                <w:b/>
              </w:rPr>
              <w:t xml:space="preserve">28.46 kgCO2e</w:t>
            </w:r>
          </w:p>
        </w:tc>
      </w:tr>
    </w:tbl>
    <w:p>
      <w:r>
        <w:pict>
          <v:rect style="width:0;height:1.5pt" o:hralign="center" o:hrstd="t" o:hr="t"/>
        </w:pict>
      </w:r>
    </w:p>
    <w:bookmarkEnd w:id="36"/>
    <w:bookmarkStart w:id="40" w:name="review-report-hotspots-and-reliability"/>
    <w:p>
      <w:pPr>
        <w:pStyle w:val="Heading2"/>
      </w:pPr>
      <w:r>
        <w:t xml:space="preserve">5. Review &amp; Report: Hotspots and Reliability</w:t>
      </w:r>
    </w:p>
    <w:bookmarkStart w:id="37" w:name="emission-hotspots"/>
    <w:p>
      <w:pPr>
        <w:pStyle w:val="Heading3"/>
      </w:pPr>
      <w:r>
        <w:t xml:space="preserve">5.1. Emission Hotspots</w:t>
      </w:r>
    </w:p>
    <w:p>
      <w:pPr>
        <w:pStyle w:val="FirstParagraph"/>
      </w:pPr>
      <w:r>
        <w:t xml:space="preserve">The analysis identifies the following key emission hotspots for jitrpvewxs:</w:t>
      </w:r>
    </w:p>
    <w:p>
      <w:pPr>
        <w:numPr>
          <w:ilvl w:val="0"/>
          <w:numId w:val="1017"/>
        </w:numPr>
        <w:pStyle w:val="Compact"/>
      </w:pPr>
      <w:r>
        <w:rPr>
          <w:bCs/>
          <w:b/>
        </w:rPr>
        <w:t xml:space="preserve">Use Phase (18.15 kgCO2e):</w:t>
      </w:r>
      <w:r>
        <w:t xml:space="preserve"> </w:t>
      </w:r>
      <w:r>
        <w:t xml:space="preserve">This is the most significant contributor to the overall PCF, primarily driven by the product\'s energy consumption over its 5-year lifespan. This highlights the importance of energy efficiency during product operation.</w:t>
      </w:r>
    </w:p>
    <w:p>
      <w:pPr>
        <w:numPr>
          <w:ilvl w:val="0"/>
          <w:numId w:val="1017"/>
        </w:numPr>
        <w:pStyle w:val="Compact"/>
      </w:pPr>
      <w:r>
        <w:rPr>
          <w:bCs/>
          <w:b/>
        </w:rPr>
        <w:t xml:space="preserve">Material Acquisition &amp; Pre-processing (8.85 kgCO2e):</w:t>
      </w:r>
      <w:r>
        <w:t xml:space="preserve"> </w:t>
      </w:r>
      <w:r>
        <w:t xml:space="preserve">The raw materials, particularly the Aluminum Casing and Circuit Board, contribute substantially to the upstream emissions, emphasizing the need for sustainable material sourcing and design.</w:t>
      </w:r>
    </w:p>
    <w:bookmarkEnd w:id="37"/>
    <w:bookmarkStart w:id="38" w:name="reliability-and-limitations"/>
    <w:p>
      <w:pPr>
        <w:pStyle w:val="Heading3"/>
      </w:pPr>
      <w:r>
        <w:t xml:space="preserve">5.2. Reliability and Limitations</w:t>
      </w:r>
    </w:p>
    <w:p>
      <w:pPr>
        <w:pStyle w:val="FirstParagraph"/>
      </w:pPr>
      <w:r>
        <w:t xml:space="preserve">The reliability of this report is based on the following:</w:t>
      </w:r>
    </w:p>
    <w:p>
      <w:pPr>
        <w:numPr>
          <w:ilvl w:val="0"/>
          <w:numId w:val="1018"/>
        </w:numPr>
        <w:pStyle w:val="Compact"/>
      </w:pPr>
      <w:r>
        <w:rPr>
          <w:bCs/>
          <w:b/>
        </w:rPr>
        <w:t xml:space="preserve">Adherence to GHG Protocol:</w:t>
      </w:r>
      <w:r>
        <w:t xml:space="preserve"> </w:t>
      </w:r>
      <w:r>
        <w:t xml:space="preserve">The analysis strictly follows the GHG Protocol Product Standard, ensuring a robust and comparable methodology.</w:t>
      </w:r>
    </w:p>
    <w:p>
      <w:pPr>
        <w:numPr>
          <w:ilvl w:val="0"/>
          <w:numId w:val="1018"/>
        </w:numPr>
        <w:pStyle w:val="Compact"/>
      </w:pPr>
      <w:r>
        <w:rPr>
          <w:bCs/>
          <w:b/>
        </w:rPr>
        <w:t xml:space="preserve">2026 LSR Update:</w:t>
      </w:r>
      <w:r>
        <w:t xml:space="preserve"> </w:t>
      </w:r>
      <w:r>
        <w:t xml:space="preserve">The application of the Land Sector and Removals (LSR) Standard ensures the conceptual integration of land use and carbon removals, though specific detailed LSR data was not provided for this simulated scenario.</w:t>
      </w:r>
    </w:p>
    <w:p>
      <w:pPr>
        <w:numPr>
          <w:ilvl w:val="0"/>
          <w:numId w:val="1018"/>
        </w:numPr>
        <w:pStyle w:val="Compact"/>
      </w:pPr>
      <w:r>
        <w:rPr>
          <w:bCs/>
          <w:b/>
        </w:rPr>
        <w:t xml:space="preserve">Scope 3 Compliance:</w:t>
      </w:r>
      <w:r>
        <w:t xml:space="preserve"> </w:t>
      </w:r>
      <w:r>
        <w:t xml:space="preserve">Comprehensive data collection and calculation methods aim for the required 95% Scope 3 coverage, addressing the full value chain impact.</w:t>
      </w:r>
    </w:p>
    <w:p>
      <w:pPr>
        <w:numPr>
          <w:ilvl w:val="0"/>
          <w:numId w:val="1018"/>
        </w:numPr>
        <w:pStyle w:val="Compact"/>
      </w:pPr>
      <w:r>
        <w:rPr>
          <w:bCs/>
          <w:b/>
        </w:rPr>
        <w:t xml:space="preserve">Data Quality:</w:t>
      </w:r>
      <w:r>
        <w:t xml:space="preserve"> </w:t>
      </w:r>
      <w:r>
        <w:t xml:space="preserve">While primary data (BOM, energy usage) was provided, secondary industry-average emission factors were used for background processes (e.g., electricity grids, transport, waste treatment). The accuracy of these factors can vary, and using product-specific or supplier-specific emission factors would further enhance precision.</w:t>
      </w:r>
    </w:p>
    <w:p>
      <w:pPr>
        <w:numPr>
          <w:ilvl w:val="0"/>
          <w:numId w:val="1018"/>
        </w:numPr>
        <w:pStyle w:val="Compact"/>
      </w:pPr>
      <w:r>
        <w:rPr>
          <w:bCs/>
          <w:b/>
        </w:rPr>
        <w:t xml:space="preserve">Assumptions:</w:t>
      </w:r>
      <w:r>
        <w:t xml:space="preserve"> </w:t>
      </w:r>
      <w:r>
        <w:t xml:space="preserve">Certain assumptions were made due to data unavailability (e.g., specific last-mile delivery emission factor, detailed avoided emissions from circular programs, negligible Scope 1 manufacturing emissions). These assumptions are clearly stated to ensure transparency.</w:t>
      </w:r>
    </w:p>
    <w:bookmarkEnd w:id="38"/>
    <w:bookmarkStart w:id="39" w:name="recommendations-for-emission-reduction"/>
    <w:p>
      <w:pPr>
        <w:pStyle w:val="Heading3"/>
      </w:pPr>
      <w:r>
        <w:t xml:space="preserve">5.3. Recommendations for Emission Reduction</w:t>
      </w:r>
    </w:p>
    <w:p>
      <w:pPr>
        <w:numPr>
          <w:ilvl w:val="0"/>
          <w:numId w:val="1019"/>
        </w:numPr>
        <w:pStyle w:val="Compact"/>
      </w:pPr>
      <w:r>
        <w:rPr>
          <w:bCs/>
          <w:b/>
        </w:rPr>
        <w:t xml:space="preserve">Optimize Use Phase:</w:t>
      </w:r>
      <w:r>
        <w:t xml:space="preserve"> </w:t>
      </w:r>
      <w:r>
        <w:t xml:space="preserve">Invest in R&amp;D for enhanced energy efficiency of jitrpvewxs during its operational lifespan. Consider lower power components or innovative power management features.</w:t>
      </w:r>
    </w:p>
    <w:p>
      <w:pPr>
        <w:numPr>
          <w:ilvl w:val="0"/>
          <w:numId w:val="1019"/>
        </w:numPr>
        <w:pStyle w:val="Compact"/>
      </w:pPr>
      <w:r>
        <w:rPr>
          <w:bCs/>
          <w:b/>
        </w:rPr>
        <w:t xml:space="preserve">Sustainable Material Sourcing:</w:t>
      </w:r>
      <w:r>
        <w:t xml:space="preserve"> </w:t>
      </w:r>
      <w:r>
        <w:t xml:space="preserve">Explore alternative, lower-carbon materials or suppliers with robust environmental performance for the aluminum casing, plastic components, and circuit board. Investigate the feasibility of increasing recycled content in these components.</w:t>
      </w:r>
    </w:p>
    <w:p>
      <w:pPr>
        <w:numPr>
          <w:ilvl w:val="0"/>
          <w:numId w:val="1019"/>
        </w:numPr>
        <w:pStyle w:val="Compact"/>
      </w:pPr>
      <w:r>
        <w:rPr>
          <w:bCs/>
          <w:b/>
        </w:rPr>
        <w:t xml:space="preserve">Enhance Circularity:</w:t>
      </w:r>
      <w:r>
        <w:t xml:space="preserve"> </w:t>
      </w:r>
      <w:r>
        <w:t xml:space="preserve">Further develop and promote the existing circular/take-back programs [cite: xxywsseope] to maximize refurbishment, reuse, and high-quality recycling rates, thereby reducing reliance on virgin materials and minimizing end-of-life impacts.</w:t>
      </w:r>
    </w:p>
    <w:p>
      <w:pPr>
        <w:numPr>
          <w:ilvl w:val="0"/>
          <w:numId w:val="1019"/>
        </w:numPr>
        <w:pStyle w:val="Compact"/>
      </w:pPr>
      <w:r>
        <w:rPr>
          <w:bCs/>
          <w:b/>
        </w:rPr>
        <w:t xml:space="preserve">Supply Chain Engagement:</w:t>
      </w:r>
      <w:r>
        <w:t xml:space="preserve"> </w:t>
      </w:r>
      <w:r>
        <w:t xml:space="preserve">Collaborate with suppliers to understand and reduce their emissions, especially for high-impact materials and upstream transport.</w:t>
      </w:r>
    </w:p>
    <w:p>
      <w:r>
        <w:pict>
          <v:rect style="width:0;height:1.5pt" o:hralign="center" o:hrstd="t" o:hr="t"/>
        </w:pict>
      </w:r>
    </w:p>
    <w:bookmarkEnd w:id="39"/>
    <w:bookmarkEnd w:id="40"/>
    <w:bookmarkStart w:id="41" w:name="conclusion"/>
    <w:p>
      <w:pPr>
        <w:pStyle w:val="Heading2"/>
      </w:pPr>
      <w:r>
        <w:t xml:space="preserve">Conclusion</w:t>
      </w:r>
    </w:p>
    <w:p>
      <w:pPr>
        <w:pStyle w:val="FirstParagraph"/>
      </w:pPr>
      <w:r>
        <w:t xml:space="preserve">The Product Carbon Footprint analysis for jitrpvewxs reveals a total impact of 28.46 kgCO2e per functional unit. The Use Phase and Material Acquisition stand out as the primary areas for intervention. By focusing on energy efficiency, sustainable material choices, and robust circular economy initiatives, nilhwungje can significantly reduce the environmental footprint of jitrpvewxs and demonstrate strong leadership in product sustainability.</w:t>
      </w:r>
    </w:p>
    <w:p>
      <w:pPr>
        <w:pStyle w:val="BodyText"/>
      </w:pPr>
      <w:r>
        <w:t xml:space="preserve">Confidential - Internal Use Only</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jitrpvewxs</dc:title>
  <dc:creator/>
  <dc:description>Detailed Product Carbon Footprint (PCF) analysis report for jitrpvewxs, conducted by Senior Sustainability Consultant udoilpoflx for nilhwungje, adhering to GHG Protocol standards and 2026 LSR Update.</dc:description>
  <dc:language>en</dc:language>
  <cp:keywords/>
  <dcterms:created xsi:type="dcterms:W3CDTF">2026-05-30T22:14:37Z</dcterms:created>
  <dcterms:modified xsi:type="dcterms:W3CDTF">2026-05-30T22:14:37Z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