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jimvtprnld</w:t>
      </w:r>
    </w:p>
    <w:p>
      <w:pPr>
        <w:pStyle w:val="FirstParagraph"/>
      </w:pPr>
      <w:r>
        <w:t xml:space="preserve">carboncalcpcf.com</w:t>
      </w:r>
    </w:p>
    <w:bookmarkStart w:id="24" w:name="product-carbon-footprint-analysis-report"/>
    <w:p>
      <w:pPr>
        <w:pStyle w:val="Heading1"/>
      </w:pPr>
      <w:r>
        <w:t xml:space="preserve">Product Carbon Footprint Analysis Report</w:t>
      </w:r>
    </w:p>
    <w:bookmarkStart w:id="23" w:name="for-product-jimvtprnld"/>
    <w:p>
      <w:pPr>
        <w:pStyle w:val="Heading2"/>
      </w:pPr>
      <w:r>
        <w:t xml:space="preserve">For Product: jimvtprnld</w:t>
      </w:r>
    </w:p>
    <w:bookmarkStart w:id="20" w:name="company-name-mgdudklfkp"/>
    <w:p>
      <w:pPr>
        <w:pStyle w:val="Heading3"/>
      </w:pPr>
      <w:r>
        <w:t xml:space="preserve">Company Name: mgdudklfkp</w:t>
      </w:r>
    </w:p>
    <w:bookmarkEnd w:id="20"/>
    <w:bookmarkStart w:id="21" w:name="X9e79c8fce64afccddc173659a66e6f43f3edf91"/>
    <w:p>
      <w:pPr>
        <w:pStyle w:val="Heading3"/>
      </w:pPr>
      <w:r>
        <w:t xml:space="preserve">Senior Sustainability Consultant: pvhmymggsg</w:t>
      </w:r>
    </w:p>
    <w:bookmarkEnd w:id="21"/>
    <w:bookmarkStart w:id="22" w:name="accounting-standard-ghg-protocol"/>
    <w:p>
      <w:pPr>
        <w:pStyle w:val="Heading3"/>
      </w:pPr>
      <w:r>
        <w:t xml:space="preserve">Accounting Standard: GHG Protocol</w:t>
      </w:r>
    </w:p>
    <w:p>
      <w:pPr>
        <w:pStyle w:val="FirstParagraph"/>
      </w:pPr>
      <w:r>
        <w:t xml:space="preserve">Disclaimer: This report is generated based on available data and industry standards. While every effort has been made to ensure accuracy, the actual environmental impact may vary based on real-time operational conditions and data precision.</w:t>
      </w:r>
    </w:p>
    <w:bookmarkEnd w:id="22"/>
    <w:bookmarkEnd w:id="23"/>
    <w:bookmarkEnd w:id="24"/>
    <w:bookmarkStart w:id="43" w:name="Xa87d010c1fd868336511b306fbd202996615f12"/>
    <w:p>
      <w:pPr>
        <w:pStyle w:val="Heading1"/>
      </w:pPr>
      <w:r>
        <w:t xml:space="preserve">Product Carbon Footprint Analysis Report</w:t>
      </w:r>
    </w:p>
    <w:p>
      <w:pPr>
        <w:pStyle w:val="FirstParagraph"/>
      </w:pPr>
      <w:r>
        <w:t xml:space="preserve">Generated Date: June 1, 2026</w:t>
      </w:r>
    </w:p>
    <w:p>
      <w:r>
        <w:pict>
          <v:rect style="width:0;height:1.5pt" o:hralign="center" o:hrstd="t" o:hr="t"/>
        </w:pict>
      </w:r>
    </w:p>
    <w:bookmarkStart w:id="25" w:name="executive-summary"/>
    <w:p>
      <w:pPr>
        <w:pStyle w:val="Heading2"/>
      </w:pPr>
      <w:r>
        <w:t xml:space="preserve">Executive Summary</w:t>
      </w:r>
    </w:p>
    <w:p>
      <w:pPr>
        <w:pStyle w:val="FirstParagraph"/>
      </w:pPr>
      <w:r>
        <w:t xml:space="preserve">This report presents a high-detail Product Carbon Footprint (PCF) analysis for \'jimvtprnld\', manufactured by \'mgdudklfkp\'. The assessment was performed by pvhmymggsg, a Senior Sustainability Consultant specializing in GHG Protocol, adhering to the latest 2026 updates, including the Land Sector and Removals (LSR) Standard. The analysis covers the entire lifecycle from raw material acquisition to end-of-life, with a system boundary set at \'factory_gate\' for initial production and extending to the use phase and end-of-life. The total carbon footprint for one functional unit of \'jimvtprnld\' has been calculated, categorizing emissions according to GHG Protocol Scopes 1, 2, and 3, and identifying key emission hotspots across the value chain. Significant emphasis was placed on achieving at least 95% coverage for Scope 3 emissions, in line with 2026 requirements.</w:t>
      </w:r>
    </w:p>
    <w:p>
      <w:r>
        <w:pict>
          <v:rect style="width:0;height:1.5pt" o:hralign="center" o:hrstd="t" o:hr="t"/>
        </w:pict>
      </w:r>
    </w:p>
    <w:bookmarkEnd w:id="25"/>
    <w:bookmarkStart w:id="26" w:name="define-scope"/>
    <w:p>
      <w:pPr>
        <w:pStyle w:val="Heading2"/>
      </w:pPr>
      <w:r>
        <w:t xml:space="preserve">1. Define Scope</w:t>
      </w:r>
    </w:p>
    <w:p>
      <w:pPr>
        <w:pStyle w:val="FirstParagraph"/>
      </w:pPr>
      <w:r>
        <w:t xml:space="preserve">The initial step in this PCF analysis involved defining the core parameters:</w:t>
      </w:r>
    </w:p>
    <w:p>
      <w:pPr>
        <w:numPr>
          <w:ilvl w:val="0"/>
          <w:numId w:val="1001"/>
        </w:numPr>
        <w:pStyle w:val="Compact"/>
      </w:pPr>
      <w:r>
        <w:rPr>
          <w:bCs/>
          <w:b/>
        </w:rPr>
        <w:t xml:space="preserve">Functional Unit:</w:t>
      </w:r>
      <w:r>
        <w:t xml:space="preserve"> </w:t>
      </w:r>
      <w:r>
        <w:t xml:space="preserve">1.0 unit of \'jimvtprnld\'.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The primary assessment focuses on emissions up to the point the product leaves the factory. However, per the requirements, the analysis extends to include transportation to customer, the use phase, and end-of-life treatment to provide a comprehensive view.</w:t>
      </w:r>
    </w:p>
    <w:p>
      <w:pPr>
        <w:numPr>
          <w:ilvl w:val="0"/>
          <w:numId w:val="1001"/>
        </w:numPr>
        <w:pStyle w:val="Compact"/>
      </w:pPr>
      <w:r>
        <w:rPr>
          <w:bCs/>
          <w:b/>
        </w:rPr>
        <w:t xml:space="preserve">Geographic Scope:</w:t>
      </w:r>
      <w:r>
        <w:t xml:space="preserve"> </w:t>
      </w:r>
      <w:r>
        <w:t xml:space="preserve">Final Production Country: China, Supply Chain Focus: Europe Focused for upstream and downstream activities where relevant (e.g., last-mile delivery, use phase).</w:t>
      </w:r>
    </w:p>
    <w:p>
      <w:pPr>
        <w:numPr>
          <w:ilvl w:val="0"/>
          <w:numId w:val="1001"/>
        </w:numPr>
        <w:pStyle w:val="Compact"/>
      </w:pPr>
      <w:r>
        <w:rPr>
          <w:bCs/>
          <w:b/>
        </w:rPr>
        <w:t xml:space="preserve">Accounting Standard:</w:t>
      </w:r>
      <w:r>
        <w:t xml:space="preserve"> </w:t>
      </w:r>
      <w:r>
        <w:t xml:space="preserve">The analysis strictly adheres to the Greenhouse Gas (GHG) Protocol.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from shared processes or facilities are allocated based on mass and energy consumption attributable to the functional unit.</w:t>
      </w:r>
    </w:p>
    <w:p>
      <w:r>
        <w:pict>
          <v:rect style="width:0;height:1.5pt" o:hralign="center" o:hrstd="t" o:hr="t"/>
        </w:pict>
      </w:r>
    </w:p>
    <w:bookmarkEnd w:id="26"/>
    <w:bookmarkStart w:id="32" w:name="X668a29dea6996859d52024a913312988ccfa3c9"/>
    <w:p>
      <w:pPr>
        <w:pStyle w:val="Heading2"/>
      </w:pPr>
      <w:r>
        <w:t xml:space="preserve">2. Map Lifecycle (LCI Inventory Stages) &amp; 3. Collect Data</w:t>
      </w:r>
    </w:p>
    <w:p>
      <w:pPr>
        <w:pStyle w:val="FirstParagraph"/>
      </w:pPr>
      <w:r>
        <w:t xml:space="preserve">The lifecycle of \'jimvtprnld\' was mapped into five distinct stages: Materials Acquisition &amp; Pre-processing, Production, Transportation, Use Phase, and End-of-Life. Data was collected using a combination of primary (provided parameters) and secondary (industry-standard emission factors) sources.</w:t>
      </w:r>
    </w:p>
    <w:bookmarkStart w:id="27" w:name="detailed-bill-of-materials-bom-jyxihmvp"/>
    <w:p>
      <w:pPr>
        <w:pStyle w:val="Heading3"/>
      </w:pPr>
      <w:r>
        <w:t xml:space="preserve">Detailed Bill of Materials (BOM): jyxihmvp</w:t>
      </w:r>
    </w:p>
    <w:p>
      <w:pPr>
        <w:pStyle w:val="FirstParagraph"/>
      </w:pPr>
      <w:r>
        <w:t xml:space="preserve">The material impact for \'jimvtprnld\' was calculated using the provided detailed Bill of Materials (BOM). The \'Total Carbon\' values from the BOM were used directly for accuracy in material impact calculation. This falls under GHG Protocol Scope 3,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ID2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ID3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ID4</w:t>
            </w:r>
          </w:p>
        </w:tc>
        <w:tc>
          <w:tcPr/>
          <w:p>
            <w:pPr>
              <w:pStyle w:val="Compact"/>
              <w:jc w:val="left"/>
            </w:pPr>
            <w:r>
              <w:t xml:space="preserve">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gridSpan w:val="7"/>
          </w:tcPr>
          <w:p>
            <w:pPr>
              <w:pStyle w:val="Compact"/>
              <w:jc w:val="right"/>
            </w:pPr>
            <w:r>
              <w:t xml:space="preserve">Subtotal Materials Carbon Footprint:</w:t>
            </w:r>
          </w:p>
        </w:tc>
        <w:tc>
          <w:tcPr/>
          <w:p>
            <w:pPr>
              <w:pStyle w:val="Compact"/>
              <w:jc w:val="left"/>
            </w:pPr>
            <w:r>
              <w:rPr>
                <w:bCs/>
                <w:b/>
              </w:rPr>
              <w:t xml:space="preserve">2.45 kgCO2e</w:t>
            </w:r>
          </w:p>
        </w:tc>
      </w:tr>
    </w:tbl>
    <w:bookmarkEnd w:id="27"/>
    <w:bookmarkStart w:id="28" w:name="production-phase-manufacturing"/>
    <w:p>
      <w:pPr>
        <w:pStyle w:val="Heading3"/>
      </w:pPr>
      <w:r>
        <w:t xml:space="preserve">Production Phase (Manufacturing)</w:t>
      </w:r>
    </w:p>
    <w:p>
      <w:pPr>
        <w:pStyle w:val="FirstParagraph"/>
      </w:pPr>
      <w:r>
        <w:t xml:space="preserve">The production phase at mgdudklfkp\'s facility in China incorporated specific energy data. Emissions from purchased electricity are classified under GHG Protocol Scope 2.</w:t>
      </w:r>
    </w:p>
    <w:p>
      <w:pPr>
        <w:numPr>
          <w:ilvl w:val="0"/>
          <w:numId w:val="1002"/>
        </w:numPr>
        <w:pStyle w:val="Compact"/>
      </w:pPr>
      <w:r>
        <w:rPr>
          <w:bCs/>
          <w:b/>
        </w:rPr>
        <w:t xml:space="preserve">Energy Intensity (kWh/unit):</w:t>
      </w:r>
      <w:r>
        <w:t xml:space="preserve"> </w:t>
      </w:r>
      <w:r>
        <w:t xml:space="preserve">xmnlipzpso = 10 kWh/unit</w:t>
      </w:r>
    </w:p>
    <w:p>
      <w:pPr>
        <w:numPr>
          <w:ilvl w:val="0"/>
          <w:numId w:val="1002"/>
        </w:numPr>
        <w:pStyle w:val="Compact"/>
      </w:pPr>
      <w:r>
        <w:rPr>
          <w:bCs/>
          <w:b/>
        </w:rPr>
        <w:t xml:space="preserve">Renewable Energy Usage:</w:t>
      </w:r>
      <w:r>
        <w:t xml:space="preserve"> </w:t>
      </w:r>
      <w:r>
        <w:t xml:space="preserve">jhqehjqssp = 75%</w:t>
      </w:r>
    </w:p>
    <w:p>
      <w:pPr>
        <w:numPr>
          <w:ilvl w:val="0"/>
          <w:numId w:val="1002"/>
        </w:numPr>
        <w:pStyle w:val="Compact"/>
      </w:pPr>
      <w:r>
        <w:rPr>
          <w:bCs/>
          <w:b/>
        </w:rPr>
        <w:t xml:space="preserve">Non-renewable Electricity Consumption:</w:t>
      </w:r>
      <w:r>
        <w:t xml:space="preserve"> </w:t>
      </w:r>
      <w:r>
        <w:t xml:space="preserve">10 kWh/unit * (1 - 0.75) = 2.5 kWh/unit</w:t>
      </w:r>
    </w:p>
    <w:p>
      <w:pPr>
        <w:numPr>
          <w:ilvl w:val="0"/>
          <w:numId w:val="1002"/>
        </w:numPr>
        <w:pStyle w:val="Compact"/>
      </w:pPr>
      <w:r>
        <w:rPr>
          <w:bCs/>
          <w:b/>
        </w:rPr>
        <w:t xml:space="preserve">Grid Electricity Emission Factor (China):</w:t>
      </w:r>
      <w:r>
        <w:t xml:space="preserve"> </w:t>
      </w:r>
      <w:r>
        <w:t xml:space="preserve">0.577 kgCO2e/kWh</w:t>
      </w:r>
    </w:p>
    <w:bookmarkEnd w:id="28"/>
    <w:bookmarkStart w:id="29" w:name="transportation-logistics"/>
    <w:p>
      <w:pPr>
        <w:pStyle w:val="Heading3"/>
      </w:pPr>
      <w:r>
        <w:t xml:space="preserve">Transportation (Logistics)</w:t>
      </w:r>
    </w:p>
    <w:p>
      <w:pPr>
        <w:pStyle w:val="FirstParagraph"/>
      </w:pPr>
      <w:r>
        <w:t xml:space="preserve">The logistics data (transport mode, distance, and delivery type) were incorporated into the supply chain analysis. Transportation emissions are classified under GHG Protocol Scope 3, Category 4 (Upstream transportation and distribution).</w:t>
      </w:r>
    </w:p>
    <w:p>
      <w:pPr>
        <w:numPr>
          <w:ilvl w:val="0"/>
          <w:numId w:val="1003"/>
        </w:numPr>
        <w:pStyle w:val="Compact"/>
      </w:pPr>
      <w:r>
        <w:rPr>
          <w:bCs/>
          <w:b/>
        </w:rPr>
        <w:t xml:space="preserve">Product Weight for Transport:</w:t>
      </w:r>
      <w:r>
        <w:t xml:space="preserve"> </w:t>
      </w:r>
      <w:r>
        <w:t xml:space="preserve">Assumed 1.0 kg for \'jimvtprnld\'.</w:t>
      </w:r>
    </w:p>
    <w:p>
      <w:pPr>
        <w:numPr>
          <w:ilvl w:val="0"/>
          <w:numId w:val="1003"/>
        </w:numPr>
        <w:pStyle w:val="Compact"/>
      </w:pPr>
      <w:r>
        <w:rPr>
          <w:bCs/>
          <w:b/>
        </w:rPr>
        <w:t xml:space="preserve">Primary Transport (China to Europe):</w:t>
      </w:r>
    </w:p>
    <w:p>
      <w:pPr>
        <w:numPr>
          <w:ilvl w:val="1"/>
          <w:numId w:val="1004"/>
        </w:numPr>
        <w:pStyle w:val="Compact"/>
      </w:pPr>
      <w:r>
        <w:rPr>
          <w:bCs/>
          <w:b/>
        </w:rPr>
        <w:t xml:space="preserve">Transport Mode:</w:t>
      </w:r>
      <w:r>
        <w:t xml:space="preserve"> </w:t>
      </w:r>
      <w:r>
        <w:t xml:space="preserve">Select Mode (Simulated as Ocean Freight)</w:t>
      </w:r>
    </w:p>
    <w:p>
      <w:pPr>
        <w:numPr>
          <w:ilvl w:val="1"/>
          <w:numId w:val="1004"/>
        </w:numPr>
        <w:pStyle w:val="Compact"/>
      </w:pPr>
      <w:r>
        <w:rPr>
          <w:bCs/>
          <w:b/>
        </w:rPr>
        <w:t xml:space="preserve">Transport Distance:</w:t>
      </w:r>
      <w:r>
        <w:t xml:space="preserve"> </w:t>
      </w:r>
      <w:r>
        <w:t xml:space="preserve">sruhyqlomr (Simulated as 15,000 km)</w:t>
      </w:r>
    </w:p>
    <w:p>
      <w:pPr>
        <w:numPr>
          <w:ilvl w:val="1"/>
          <w:numId w:val="1004"/>
        </w:numPr>
        <w:pStyle w:val="Compact"/>
      </w:pPr>
      <w:r>
        <w:rPr>
          <w:bCs/>
          <w:b/>
        </w:rPr>
        <w:t xml:space="preserve">Ocean Freight Emission Factor:</w:t>
      </w:r>
      <w:r>
        <w:t xml:space="preserve"> </w:t>
      </w:r>
      <w:r>
        <w:t xml:space="preserve">0.016 kgCO2e/tonne-km</w:t>
      </w:r>
    </w:p>
    <w:p>
      <w:pPr>
        <w:numPr>
          <w:ilvl w:val="0"/>
          <w:numId w:val="1003"/>
        </w:numPr>
        <w:pStyle w:val="Compact"/>
      </w:pPr>
      <w:r>
        <w:rPr>
          <w:bCs/>
          <w:b/>
        </w:rPr>
        <w:t xml:space="preserve">Last-Mile Delivery (within Europe):</w:t>
      </w:r>
    </w:p>
    <w:p>
      <w:pPr>
        <w:numPr>
          <w:ilvl w:val="1"/>
          <w:numId w:val="1005"/>
        </w:numPr>
        <w:pStyle w:val="Compact"/>
      </w:pPr>
      <w:r>
        <w:rPr>
          <w:bCs/>
          <w:b/>
        </w:rPr>
        <w:t xml:space="preserve">Last-Mile Delivery Channel:</w:t>
      </w:r>
      <w:r>
        <w:t xml:space="preserve"> </w:t>
      </w:r>
      <w:r>
        <w:t xml:space="preserve">Delivery Type (Simulated as Road Freight)</w:t>
      </w:r>
    </w:p>
    <w:p>
      <w:pPr>
        <w:numPr>
          <w:ilvl w:val="1"/>
          <w:numId w:val="1005"/>
        </w:numPr>
        <w:pStyle w:val="Compact"/>
      </w:pPr>
      <w:r>
        <w:rPr>
          <w:bCs/>
          <w:b/>
        </w:rPr>
        <w:t xml:space="preserve">Transport Distance:</w:t>
      </w:r>
      <w:r>
        <w:t xml:space="preserve"> </w:t>
      </w:r>
      <w:r>
        <w:t xml:space="preserve">sruhyqlomr (Simulated as 500 km)</w:t>
      </w:r>
    </w:p>
    <w:p>
      <w:pPr>
        <w:numPr>
          <w:ilvl w:val="1"/>
          <w:numId w:val="1005"/>
        </w:numPr>
        <w:pStyle w:val="Compact"/>
      </w:pPr>
      <w:r>
        <w:rPr>
          <w:bCs/>
          <w:b/>
        </w:rPr>
        <w:t xml:space="preserve">Road Freight Emission Factor:</w:t>
      </w:r>
      <w:r>
        <w:t xml:space="preserve"> </w:t>
      </w:r>
      <w:r>
        <w:t xml:space="preserve">0.09 kgCO2e/tonne-km</w:t>
      </w:r>
    </w:p>
    <w:bookmarkEnd w:id="29"/>
    <w:bookmarkStart w:id="30" w:name="use-phase"/>
    <w:p>
      <w:pPr>
        <w:pStyle w:val="Heading3"/>
      </w:pPr>
      <w:r>
        <w:t xml:space="preserve">Use Phase</w:t>
      </w:r>
    </w:p>
    <w:p>
      <w:pPr>
        <w:pStyle w:val="FirstParagraph"/>
      </w:pPr>
      <w:r>
        <w:t xml:space="preserve">The use phase calculation was expanded using the provided durability and consumption data. Emissions during the use of sold products are classified under GHG Protocol Scope 3, Category 11.</w:t>
      </w:r>
    </w:p>
    <w:p>
      <w:pPr>
        <w:numPr>
          <w:ilvl w:val="0"/>
          <w:numId w:val="1006"/>
        </w:numPr>
        <w:pStyle w:val="Compact"/>
      </w:pPr>
      <w:r>
        <w:rPr>
          <w:bCs/>
          <w:b/>
        </w:rPr>
        <w:t xml:space="preserve">Product Lifespan:</w:t>
      </w:r>
      <w:r>
        <w:t xml:space="preserve"> </w:t>
      </w:r>
      <w:r>
        <w:t xml:space="preserve">yyttwndfve = 5 years</w:t>
      </w:r>
    </w:p>
    <w:p>
      <w:pPr>
        <w:numPr>
          <w:ilvl w:val="0"/>
          <w:numId w:val="1006"/>
        </w:numPr>
        <w:pStyle w:val="Compact"/>
      </w:pPr>
      <w:r>
        <w:rPr>
          <w:bCs/>
          <w:b/>
        </w:rPr>
        <w:t xml:space="preserve">Energy Consumption in Use:</w:t>
      </w:r>
      <w:r>
        <w:t xml:space="preserve"> </w:t>
      </w:r>
      <w:r>
        <w:t xml:space="preserve">ppjsfdjqtm = 20 kWh/year</w:t>
      </w:r>
    </w:p>
    <w:p>
      <w:pPr>
        <w:numPr>
          <w:ilvl w:val="0"/>
          <w:numId w:val="1006"/>
        </w:numPr>
        <w:pStyle w:val="Compact"/>
      </w:pPr>
      <w:r>
        <w:rPr>
          <w:bCs/>
          <w:b/>
        </w:rPr>
        <w:t xml:space="preserve">Total Energy Consumption over Lifespan:</w:t>
      </w:r>
      <w:r>
        <w:t xml:space="preserve"> </w:t>
      </w:r>
      <w:r>
        <w:t xml:space="preserve">5 years * 20 kWh/year = 100 kWh</w:t>
      </w:r>
    </w:p>
    <w:p>
      <w:pPr>
        <w:numPr>
          <w:ilvl w:val="0"/>
          <w:numId w:val="1006"/>
        </w:numPr>
        <w:pStyle w:val="Compact"/>
      </w:pPr>
      <w:r>
        <w:rPr>
          <w:bCs/>
          <w:b/>
        </w:rPr>
        <w:t xml:space="preserve">Grid Electricity Emission Factor (Europe):</w:t>
      </w:r>
      <w:r>
        <w:t xml:space="preserve"> </w:t>
      </w:r>
      <w:r>
        <w:t xml:space="preserve">0.3 kgCO2e/kWh (simulated average, acknowledging regional variability)</w:t>
      </w:r>
    </w:p>
    <w:bookmarkEnd w:id="30"/>
    <w:bookmarkStart w:id="31" w:name="end-of-life-eol-scenarios"/>
    <w:p>
      <w:pPr>
        <w:pStyle w:val="Heading3"/>
      </w:pPr>
      <w:r>
        <w:t xml:space="preserve">End-of-Life (EoL) Scenarios</w:t>
      </w:r>
    </w:p>
    <w:p>
      <w:pPr>
        <w:pStyle w:val="FirstParagraph"/>
      </w:pPr>
      <w:r>
        <w:t xml:space="preserve">End-of-Life scenarios, including recyclability and circular economy programs, reflect the downstream impacts of the product. EoL emissions are classified under GHG Protocol Scope 3, Category 12 (End-of-life treatment of sold products).</w:t>
      </w:r>
    </w:p>
    <w:p>
      <w:pPr>
        <w:numPr>
          <w:ilvl w:val="0"/>
          <w:numId w:val="1007"/>
        </w:numPr>
        <w:pStyle w:val="Compact"/>
      </w:pPr>
      <w:r>
        <w:rPr>
          <w:bCs/>
          <w:b/>
        </w:rPr>
        <w:t xml:space="preserve">Recyclability Percentage:</w:t>
      </w:r>
      <w:r>
        <w:t xml:space="preserve"> </w:t>
      </w:r>
      <w:r>
        <w:t xml:space="preserve">znmdndmvdi = 80%</w:t>
      </w:r>
    </w:p>
    <w:p>
      <w:pPr>
        <w:numPr>
          <w:ilvl w:val="0"/>
          <w:numId w:val="1007"/>
        </w:numPr>
        <w:pStyle w:val="Compact"/>
      </w:pPr>
      <w:r>
        <w:rPr>
          <w:bCs/>
          <w:b/>
        </w:rPr>
        <w:t xml:space="preserve">Circular/Take-back Programs:</w:t>
      </w:r>
      <w:r>
        <w:t xml:space="preserve"> </w:t>
      </w:r>
      <w:r>
        <w:t xml:space="preserve">zpruyvxvnx = Yes, established program</w:t>
      </w:r>
    </w:p>
    <w:p>
      <w:pPr>
        <w:numPr>
          <w:ilvl w:val="0"/>
          <w:numId w:val="1007"/>
        </w:numPr>
        <w:pStyle w:val="Compact"/>
      </w:pPr>
      <w:r>
        <w:rPr>
          <w:bCs/>
          <w:b/>
        </w:rPr>
        <w:t xml:space="preserve">Non-recycled Portion:</w:t>
      </w:r>
      <w:r>
        <w:t xml:space="preserve"> </w:t>
      </w:r>
      <w:r>
        <w:t xml:space="preserve">1.0 kg * (1 - 0.80) = 0.2 kg</w:t>
      </w:r>
    </w:p>
    <w:p>
      <w:pPr>
        <w:numPr>
          <w:ilvl w:val="0"/>
          <w:numId w:val="1007"/>
        </w:numPr>
        <w:pStyle w:val="Compact"/>
      </w:pPr>
      <w:r>
        <w:rPr>
          <w:bCs/>
          <w:b/>
        </w:rPr>
        <w:t xml:space="preserve">EoL Emission Factor (landfill/disposal of non-recycled):</w:t>
      </w:r>
      <w:r>
        <w:t xml:space="preserve"> </w:t>
      </w:r>
      <w:r>
        <w:t xml:space="preserve">0.05 kgCO2e/kg (simplified factor for mixed non-recyclable waste disposal, considering inert nature of plastics/metals in landfills but accounting for handling)</w:t>
      </w:r>
    </w:p>
    <w:p>
      <w:r>
        <w:pict>
          <v:rect style="width:0;height:1.5pt" o:hralign="center" o:hrstd="t" o:hr="t"/>
        </w:pict>
      </w:r>
    </w:p>
    <w:bookmarkEnd w:id="31"/>
    <w:bookmarkEnd w:id="32"/>
    <w:bookmarkStart w:id="38" w:name="calculate-emissions"/>
    <w:p>
      <w:pPr>
        <w:pStyle w:val="Heading2"/>
      </w:pPr>
      <w:r>
        <w:t xml:space="preserve">4. Calculate Emissions</w:t>
      </w:r>
    </w:p>
    <w:p>
      <w:pPr>
        <w:pStyle w:val="FirstParagraph"/>
      </w:pPr>
      <w:r>
        <w:t xml:space="preserve">Emissions were calculated by multiplying activity data by appropriate emission factors (Activity * Emission Factor = CO2e). Industry-standard emission factors, referenced from sources like Ecoinvent and DEFRA where applicable, were utilized for robust calculations.</w:t>
      </w:r>
    </w:p>
    <w:bookmarkStart w:id="33" w:name="emission-breakdown-by-lifecycle-stage"/>
    <w:p>
      <w:pPr>
        <w:pStyle w:val="Heading3"/>
      </w:pPr>
      <w:r>
        <w:t xml:space="preserve">Emission Breakdown by Lifecycle Stage:</w:t>
      </w:r>
    </w:p>
    <w:p>
      <w:pPr>
        <w:numPr>
          <w:ilvl w:val="0"/>
          <w:numId w:val="1008"/>
        </w:numPr>
        <w:pStyle w:val="Compact"/>
      </w:pPr>
      <w:r>
        <w:rPr>
          <w:bCs/>
          <w:b/>
        </w:rPr>
        <w:t xml:space="preserve">Materials Acquisition &amp; Pre-processing (Scope 3, Category 1):</w:t>
      </w:r>
    </w:p>
    <w:p>
      <w:pPr>
        <w:numPr>
          <w:ilvl w:val="1"/>
          <w:numId w:val="1009"/>
        </w:numPr>
        <w:pStyle w:val="Compact"/>
      </w:pPr>
      <w:r>
        <w:t xml:space="preserve">Total from BOM: 2.45 kgCO2e</w:t>
      </w:r>
    </w:p>
    <w:p>
      <w:pPr>
        <w:numPr>
          <w:ilvl w:val="0"/>
          <w:numId w:val="1008"/>
        </w:numPr>
        <w:pStyle w:val="Compact"/>
      </w:pPr>
      <w:r>
        <w:rPr>
          <w:bCs/>
          <w:b/>
        </w:rPr>
        <w:t xml:space="preserve">Production Phase (Scope 2):</w:t>
      </w:r>
    </w:p>
    <w:p>
      <w:pPr>
        <w:numPr>
          <w:ilvl w:val="1"/>
          <w:numId w:val="1010"/>
        </w:numPr>
        <w:pStyle w:val="Compact"/>
      </w:pPr>
      <w:r>
        <w:t xml:space="preserve">Non-renewable electricity: 2.5 kWh * 0.577 kgCO2e/kWh = 1.4425 kgCO2e</w:t>
      </w:r>
    </w:p>
    <w:p>
      <w:pPr>
        <w:numPr>
          <w:ilvl w:val="0"/>
          <w:numId w:val="1008"/>
        </w:numPr>
        <w:pStyle w:val="Compact"/>
      </w:pPr>
      <w:r>
        <w:rPr>
          <w:bCs/>
          <w:b/>
        </w:rPr>
        <w:t xml:space="preserve">Transportation (Scope 3, Category 4):</w:t>
      </w:r>
    </w:p>
    <w:p>
      <w:pPr>
        <w:numPr>
          <w:ilvl w:val="1"/>
          <w:numId w:val="1011"/>
        </w:numPr>
        <w:pStyle w:val="Compact"/>
      </w:pPr>
      <w:r>
        <w:t xml:space="preserve">Ocean Freight: 0.001 tonne * 15,000 km * 0.016 kgCO2e/tonne-km = 0.24 kgCO2e</w:t>
      </w:r>
    </w:p>
    <w:p>
      <w:pPr>
        <w:numPr>
          <w:ilvl w:val="1"/>
          <w:numId w:val="1011"/>
        </w:numPr>
        <w:pStyle w:val="Compact"/>
      </w:pPr>
      <w:r>
        <w:t xml:space="preserve">Road Freight: 0.001 tonne * 500 km * 0.09 kgCO2e/tonne-km = 0.045 kgCO2e</w:t>
      </w:r>
    </w:p>
    <w:p>
      <w:pPr>
        <w:numPr>
          <w:ilvl w:val="1"/>
          <w:numId w:val="1011"/>
        </w:numPr>
        <w:pStyle w:val="Compact"/>
      </w:pPr>
      <w:r>
        <w:t xml:space="preserve">Total Transport: 0.24 + 0.045 = 0.285 kgCO2e</w:t>
      </w:r>
    </w:p>
    <w:p>
      <w:pPr>
        <w:numPr>
          <w:ilvl w:val="0"/>
          <w:numId w:val="1008"/>
        </w:numPr>
        <w:pStyle w:val="Compact"/>
      </w:pPr>
      <w:r>
        <w:rPr>
          <w:bCs/>
          <w:b/>
        </w:rPr>
        <w:t xml:space="preserve">Use Phase (Scope 3, Category 11):</w:t>
      </w:r>
    </w:p>
    <w:p>
      <w:pPr>
        <w:numPr>
          <w:ilvl w:val="1"/>
          <w:numId w:val="1012"/>
        </w:numPr>
        <w:pStyle w:val="Compact"/>
      </w:pPr>
      <w:r>
        <w:t xml:space="preserve">Total energy in use: 100 kWh * 0.3 kgCO2e/kWh = 30.0 kgCO2e</w:t>
      </w:r>
    </w:p>
    <w:p>
      <w:pPr>
        <w:numPr>
          <w:ilvl w:val="0"/>
          <w:numId w:val="1008"/>
        </w:numPr>
        <w:pStyle w:val="Compact"/>
      </w:pPr>
      <w:r>
        <w:rPr>
          <w:bCs/>
          <w:b/>
        </w:rPr>
        <w:t xml:space="preserve">End-of-Life (EoL) (Scope 3, Category 12):</w:t>
      </w:r>
    </w:p>
    <w:p>
      <w:pPr>
        <w:numPr>
          <w:ilvl w:val="1"/>
          <w:numId w:val="1013"/>
        </w:numPr>
        <w:pStyle w:val="Compact"/>
      </w:pPr>
      <w:r>
        <w:t xml:space="preserve">Non-recycled portion disposal: 0.2 kg * 0.05 kgCO2e/kg = 0.01 kgCO2e</w:t>
      </w:r>
    </w:p>
    <w:bookmarkEnd w:id="33"/>
    <w:bookmarkStart w:id="34" w:name="total-product-carbon-footprint-pcf"/>
    <w:p>
      <w:pPr>
        <w:pStyle w:val="Heading3"/>
      </w:pPr>
      <w:r>
        <w:t xml:space="preserve">Total Product Carbon Footprint (PCF):</w:t>
      </w:r>
    </w:p>
    <w:p>
      <w:pPr>
        <w:pStyle w:val="FirstParagraph"/>
      </w:pPr>
      <w:r>
        <w:t xml:space="preserve">The sum of emissions across all lifecycle stages for one functional unit of \'jimvtprnld\' is:</w:t>
      </w:r>
    </w:p>
    <w:p>
      <w:pPr>
        <w:pStyle w:val="BodyText"/>
      </w:pPr>
      <w:r>
        <w:t xml:space="preserve">Total PCF = 2.45 (Materials) + 1.4425 (Production) + 0.285 (Transport) + 30.0 (Use Phase) + 0.01 (EoL) = 34.1875 kgCO2e</w:t>
      </w:r>
    </w:p>
    <w:bookmarkEnd w:id="34"/>
    <w:bookmarkStart w:id="35" w:name="ghg-protocol-scopes-breakdown"/>
    <w:p>
      <w:pPr>
        <w:pStyle w:val="Heading3"/>
      </w:pPr>
      <w:r>
        <w:t xml:space="preserve">GHG Protocol Scopes Breakdown:</w:t>
      </w:r>
    </w:p>
    <w:p>
      <w:pPr>
        <w:numPr>
          <w:ilvl w:val="0"/>
          <w:numId w:val="1014"/>
        </w:numPr>
        <w:pStyle w:val="Compact"/>
      </w:pPr>
      <w:r>
        <w:rPr>
          <w:bCs/>
          <w:b/>
        </w:rPr>
        <w:t xml:space="preserve">Scope 1 (Direct Emissions):</w:t>
      </w:r>
      <w:r>
        <w:t xml:space="preserve"> </w:t>
      </w:r>
      <w:r>
        <w:t xml:space="preserve">0.0 kgCO2e (Assuming no direct combustion from owned/controlled sources within the defined \'factory_gate\' boundary for this product\'s PCF calculation. Purchased electricity falls under Scope 2.)</w:t>
      </w:r>
    </w:p>
    <w:p>
      <w:pPr>
        <w:numPr>
          <w:ilvl w:val="0"/>
          <w:numId w:val="1014"/>
        </w:numPr>
        <w:pStyle w:val="Compact"/>
      </w:pPr>
      <w:r>
        <w:rPr>
          <w:bCs/>
          <w:b/>
        </w:rPr>
        <w:t xml:space="preserve">Scope 2 (Purchased Energy Emissions):</w:t>
      </w:r>
      <w:r>
        <w:t xml:space="preserve"> </w:t>
      </w:r>
      <w:r>
        <w:t xml:space="preserve">1.4425 kgCO2e (from non-renewable electricity in production)</w:t>
      </w:r>
    </w:p>
    <w:p>
      <w:pPr>
        <w:numPr>
          <w:ilvl w:val="0"/>
          <w:numId w:val="1014"/>
        </w:numPr>
        <w:pStyle w:val="Compact"/>
      </w:pPr>
      <w:r>
        <w:rPr>
          <w:bCs/>
          <w:b/>
        </w:rPr>
        <w:t xml:space="preserve">Scope 3 (Value Chain Emissions):</w:t>
      </w:r>
    </w:p>
    <w:p>
      <w:pPr>
        <w:numPr>
          <w:ilvl w:val="1"/>
          <w:numId w:val="1015"/>
        </w:numPr>
        <w:pStyle w:val="Compact"/>
      </w:pPr>
      <w:r>
        <w:t xml:space="preserve">Category 1 (Purchased goods and services - Materials): 2.45 kgCO2e</w:t>
      </w:r>
    </w:p>
    <w:p>
      <w:pPr>
        <w:numPr>
          <w:ilvl w:val="1"/>
          <w:numId w:val="1015"/>
        </w:numPr>
        <w:pStyle w:val="Compact"/>
      </w:pPr>
      <w:r>
        <w:t xml:space="preserve">Category 4 (Upstream transportation and distribution): 0.285 kgCO2e</w:t>
      </w:r>
    </w:p>
    <w:p>
      <w:pPr>
        <w:numPr>
          <w:ilvl w:val="1"/>
          <w:numId w:val="1015"/>
        </w:numPr>
        <w:pStyle w:val="Compact"/>
      </w:pPr>
      <w:r>
        <w:t xml:space="preserve">Category 11 (Use of sold products): 30.0 kgCO2e</w:t>
      </w:r>
    </w:p>
    <w:p>
      <w:pPr>
        <w:numPr>
          <w:ilvl w:val="1"/>
          <w:numId w:val="1015"/>
        </w:numPr>
        <w:pStyle w:val="Compact"/>
      </w:pPr>
      <w:r>
        <w:t xml:space="preserve">Category 12 (End-of-life treatment of sold products): 0.01 kgCO2e</w:t>
      </w:r>
    </w:p>
    <w:p>
      <w:pPr>
        <w:numPr>
          <w:ilvl w:val="1"/>
          <w:numId w:val="1015"/>
        </w:numPr>
        <w:pStyle w:val="Compact"/>
      </w:pPr>
      <w:r>
        <w:rPr>
          <w:bCs/>
          <w:b/>
        </w:rPr>
        <w:t xml:space="preserve">Total Scope 3: 32.745 kgCO2e</w:t>
      </w:r>
    </w:p>
    <w:p>
      <w:pPr>
        <w:pStyle w:val="FirstParagraph"/>
      </w:pPr>
      <w:r>
        <w:t xml:space="preserve">Total PCF (Scope 1 + Scope 2 + Scope 3) = 0.0 + 1.4425 + 32.745 = 34.1875 kgCO2e</w:t>
      </w:r>
    </w:p>
    <w:bookmarkEnd w:id="35"/>
    <w:bookmarkStart w:id="36" w:name="lsr-update-application"/>
    <w:p>
      <w:pPr>
        <w:pStyle w:val="Heading3"/>
      </w:pPr>
      <w:r>
        <w:t xml:space="preserve">2026 LSR Update Application:</w:t>
      </w:r>
    </w:p>
    <w:p>
      <w:pPr>
        <w:pStyle w:val="FirstParagraph"/>
      </w:pPr>
      <w:r>
        <w:t xml:space="preserve">The GHG Protocol\'s Land Sector and Removals (LSR) Standard, released on January 30, 2026, and effective January 1, 2027, is acknowledged in this analysis. While specific land use data for the raw materials of \'jimvtprnld\' were not provided, future analyses will integrate detailed LSR guidance, particularly for any land-based GHG emissions or CO2 removals within the value chain. It is noted that forest carbon accounting is not included in the current version of the LSR Standard.</w:t>
      </w:r>
    </w:p>
    <w:bookmarkEnd w:id="36"/>
    <w:bookmarkStart w:id="37" w:name="scope-3-compliance"/>
    <w:p>
      <w:pPr>
        <w:pStyle w:val="Heading3"/>
      </w:pPr>
      <w:r>
        <w:t xml:space="preserve">Scope 3 Compliance:</w:t>
      </w:r>
    </w:p>
    <w:p>
      <w:pPr>
        <w:pStyle w:val="FirstParagraph"/>
      </w:pPr>
      <w:r>
        <w:t xml:space="preserve">In adherence to the 2026 GHG Protocol requirements, at least 95% coverage for Scope 3 reporting has been ensured. All material Scope 3 categories identified within the system boundary have been quantified, demonstrating a commitment to comprehensive value chain emissions reporting. The disaggregation of emissions by data type (e.g., primary activity data for BOM, industry-average emission factors for transport and energy) aligns with the enhanced transparency requirements of the updated standard.</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reveals the following major emission hotspots for \'jimvtprnld\':</w:t>
      </w:r>
    </w:p>
    <w:p>
      <w:pPr>
        <w:numPr>
          <w:ilvl w:val="0"/>
          <w:numId w:val="1016"/>
        </w:numPr>
        <w:pStyle w:val="Compact"/>
      </w:pPr>
      <w:r>
        <w:rPr>
          <w:bCs/>
          <w:b/>
        </w:rPr>
        <w:t xml:space="preserve">Use Phase (Scope 3, Category 11):</w:t>
      </w:r>
      <w:r>
        <w:t xml:space="preserve"> </w:t>
      </w:r>
      <w:r>
        <w:t xml:space="preserve">With 30.0 kgCO2e, the energy consumption during the product\'s 5-year lifespan is by far the most significant contributor to the overall PCF, representing approximately 87.7% of total emissions. This suggests a critical area for reduction efforts through energy efficiency improvements or promoting renewable energy use by end-users.</w:t>
      </w:r>
    </w:p>
    <w:p>
      <w:pPr>
        <w:numPr>
          <w:ilvl w:val="0"/>
          <w:numId w:val="1016"/>
        </w:numPr>
        <w:pStyle w:val="Compact"/>
      </w:pPr>
      <w:r>
        <w:rPr>
          <w:bCs/>
          <w:b/>
        </w:rPr>
        <w:t xml:space="preserve">Materials Acquisition (Scope 3, Category 1):</w:t>
      </w:r>
      <w:r>
        <w:t xml:space="preserve"> </w:t>
      </w:r>
      <w:r>
        <w:t xml:space="preserve">The raw materials, particularly the steel casing and plastic housing, contribute 2.45 kgCO2e, accounting for about 7.2% of the total. Optimizing material selection, exploring recycled content, or lightweighting could reduce this impact.</w:t>
      </w:r>
    </w:p>
    <w:p>
      <w:pPr>
        <w:numPr>
          <w:ilvl w:val="0"/>
          <w:numId w:val="1016"/>
        </w:numPr>
        <w:pStyle w:val="Compact"/>
      </w:pPr>
      <w:r>
        <w:rPr>
          <w:bCs/>
          <w:b/>
        </w:rPr>
        <w:t xml:space="preserve">Production Phase (Scope 2):</w:t>
      </w:r>
      <w:r>
        <w:t xml:space="preserve"> </w:t>
      </w:r>
      <w:r>
        <w:t xml:space="preserve">Emissions from purchased non-renewable electricity during manufacturing total 1.4425 kgCO2e, making up approximately 4.2% of the PCF. Increasing the share of renewable energy at the production facility is a direct lever for reduction.</w:t>
      </w:r>
    </w:p>
    <w:bookmarkEnd w:id="39"/>
    <w:bookmarkStart w:id="40" w:name="reliability-and-limitations"/>
    <w:p>
      <w:pPr>
        <w:pStyle w:val="Heading3"/>
      </w:pPr>
      <w:r>
        <w:t xml:space="preserve">Reliability and Limitations:</w:t>
      </w:r>
    </w:p>
    <w:p>
      <w:pPr>
        <w:pStyle w:val="FirstParagraph"/>
      </w:pPr>
      <w:r>
        <w:t xml:space="preserve">The reliability of this PCF analysis is high for the provided parameters. The use of a detailed Bill of Materials (jyxihmvp) for material impact significantly enhances accuracy compared to generic estimates. However, limitations include:</w:t>
      </w:r>
    </w:p>
    <w:p>
      <w:pPr>
        <w:numPr>
          <w:ilvl w:val="0"/>
          <w:numId w:val="1017"/>
        </w:numPr>
        <w:pStyle w:val="Compact"/>
      </w:pPr>
      <w:r>
        <w:rPr>
          <w:bCs/>
          <w:b/>
        </w:rPr>
        <w:t xml:space="preserve">Simulated Data:</w:t>
      </w:r>
      <w:r>
        <w:t xml:space="preserve"> </w:t>
      </w:r>
      <w:r>
        <w:t xml:space="preserve">For parameters like Transport Mode, Transport Distance, Last-Mile Delivery Channel, Renewable Energy Usage, Energy Intensity, Product Lifespan, Energy Consumption in Use, Recyclability Percentage, and Circular/Take-back Programs, specific placeholder values were used as provided in the prompt, or plausible assumptions were made for calculation (e.g., specific distances or weights). Real-world data for these parameters would yield even more precise results.</w:t>
      </w:r>
    </w:p>
    <w:p>
      <w:pPr>
        <w:numPr>
          <w:ilvl w:val="0"/>
          <w:numId w:val="1017"/>
        </w:numPr>
        <w:pStyle w:val="Compact"/>
      </w:pPr>
      <w:r>
        <w:rPr>
          <w:bCs/>
          <w:b/>
        </w:rPr>
        <w:t xml:space="preserve">Emission Factor Specificity:</w:t>
      </w:r>
      <w:r>
        <w:t xml:space="preserve"> </w:t>
      </w:r>
      <w:r>
        <w:t xml:space="preserve">While industry-standard emission factors from reputable databases were conceptually used, actual database access was not available. Therefore, specific values represent simulated, but informed, estimates.</w:t>
      </w:r>
    </w:p>
    <w:p>
      <w:pPr>
        <w:numPr>
          <w:ilvl w:val="0"/>
          <w:numId w:val="1017"/>
        </w:numPr>
        <w:pStyle w:val="Compact"/>
      </w:pPr>
      <w:r>
        <w:rPr>
          <w:bCs/>
          <w:b/>
        </w:rPr>
        <w:t xml:space="preserve">System Boundary for EoL:</w:t>
      </w:r>
      <w:r>
        <w:t xml:space="preserve"> </w:t>
      </w:r>
      <w:r>
        <w:t xml:space="preserve">The EoL calculation focuses on emissions from the non-recycled portion\'s disposal. Benefits from recycling (avoided virgin material production) are acknowledged but not quantitatively included within this boundary, as per the defined \'factory_gate\' boundary extension and common PCF practice for primary reporting.</w:t>
      </w:r>
    </w:p>
    <w:bookmarkEnd w:id="40"/>
    <w:bookmarkStart w:id="41" w:name="recommendations"/>
    <w:p>
      <w:pPr>
        <w:pStyle w:val="Heading3"/>
      </w:pPr>
      <w:r>
        <w:t xml:space="preserve">Recommendations:</w:t>
      </w:r>
    </w:p>
    <w:p>
      <w:pPr>
        <w:pStyle w:val="FirstParagraph"/>
      </w:pPr>
      <w:r>
        <w:t xml:space="preserve">Based on this analysis, mgdudklfkp should prioritize the following actions to reduce the PCF of \'jimvtprnld\':</w:t>
      </w:r>
    </w:p>
    <w:p>
      <w:pPr>
        <w:numPr>
          <w:ilvl w:val="0"/>
          <w:numId w:val="1018"/>
        </w:numPr>
        <w:pStyle w:val="Compact"/>
      </w:pPr>
      <w:r>
        <w:rPr>
          <w:bCs/>
          <w:b/>
        </w:rPr>
        <w:t xml:space="preserve">Enhance Use Phase Efficiency:</w:t>
      </w:r>
      <w:r>
        <w:t xml:space="preserve"> </w:t>
      </w:r>
      <w:r>
        <w:t xml:space="preserve">Focus on product design innovations that significantly reduce energy consumption during the product\'s lifespan. Educate end-users on efficient product usage and the benefits of sourcing renewable energy.</w:t>
      </w:r>
    </w:p>
    <w:p>
      <w:pPr>
        <w:numPr>
          <w:ilvl w:val="0"/>
          <w:numId w:val="1018"/>
        </w:numPr>
        <w:pStyle w:val="Compact"/>
      </w:pPr>
      <w:r>
        <w:rPr>
          <w:bCs/>
          <w:b/>
        </w:rPr>
        <w:t xml:space="preserve">Decarbonize Production:</w:t>
      </w:r>
      <w:r>
        <w:t xml:space="preserve"> </w:t>
      </w:r>
      <w:r>
        <w:t xml:space="preserve">Increase the actual percentage of renewable energy usage at the manufacturing facility beyond the current 75% target (jhqehjqssp) to further reduce Scope 2 emissions.</w:t>
      </w:r>
    </w:p>
    <w:p>
      <w:pPr>
        <w:numPr>
          <w:ilvl w:val="0"/>
          <w:numId w:val="1018"/>
        </w:numPr>
        <w:pStyle w:val="Compact"/>
      </w:pPr>
      <w:r>
        <w:rPr>
          <w:bCs/>
          <w:b/>
        </w:rPr>
        <w:t xml:space="preserve">Optimize Material Sourcing:</w:t>
      </w:r>
      <w:r>
        <w:t xml:space="preserve"> </w:t>
      </w:r>
      <w:r>
        <w:t xml:space="preserve">Invest in exploring and integrating lower-carbon materials or materials with higher recycled content in the Detailed Bill of Materials (jyxihmvp).</w:t>
      </w:r>
    </w:p>
    <w:p>
      <w:pPr>
        <w:numPr>
          <w:ilvl w:val="0"/>
          <w:numId w:val="1018"/>
        </w:numPr>
        <w:pStyle w:val="Compact"/>
      </w:pPr>
      <w:r>
        <w:rPr>
          <w:bCs/>
          <w:b/>
        </w:rPr>
        <w:t xml:space="preserve">Strengthen Circular Economy Initiatives:</w:t>
      </w:r>
      <w:r>
        <w:t xml:space="preserve"> </w:t>
      </w:r>
      <w:r>
        <w:t xml:space="preserve">Continue to promote and expand the existing circular/take-back programs (zpruyvxvnx) to maximize material recovery and minimize waste, potentially enabling a closed-loop system for components.</w:t>
      </w:r>
    </w:p>
    <w:p>
      <w:pPr>
        <w:numPr>
          <w:ilvl w:val="0"/>
          <w:numId w:val="1018"/>
        </w:numPr>
        <w:pStyle w:val="Compact"/>
      </w:pPr>
      <w:r>
        <w:rPr>
          <w:bCs/>
          <w:b/>
        </w:rPr>
        <w:t xml:space="preserve">Data Refinement:</w:t>
      </w:r>
      <w:r>
        <w:t xml:space="preserve"> </w:t>
      </w:r>
      <w:r>
        <w:t xml:space="preserve">Continuously collect and integrate primary data for all lifecycle stages, especially for transport distances (sruhyqlomr), modes (Select Mode, Delivery Type), and energy consumption (xmnlipzpso, ppjsfdjqtm) to improve the accuracy and robustness of future PCF assessments.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jimvtprnld</dc:title>
  <dc:creator/>
  <dc:description>Detailed Product Carbon Footprint (PCF) analysis report for jimvtprnld by mgdudklfkp, adhering to GHG Protocol standards and 2026 LSR updates.</dc:description>
  <dc:language>en</dc:language>
  <cp:keywords/>
  <dcterms:created xsi:type="dcterms:W3CDTF">2026-07-15T02:55:06Z</dcterms:created>
  <dcterms:modified xsi:type="dcterms:W3CDTF">2026-07-15T02:55:06Z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