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jgvghvjirf</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gvghvjirf"/>
    <w:p>
      <w:pPr>
        <w:pStyle w:val="Heading2"/>
      </w:pPr>
      <w:r>
        <w:t xml:space="preserve">For Product: jgvghvjirf</w:t>
      </w:r>
    </w:p>
    <w:p>
      <w:pPr>
        <w:pStyle w:val="FirstParagraph"/>
      </w:pPr>
      <w:r>
        <w:rPr>
          <w:bCs/>
          <w:b/>
        </w:rPr>
        <w:t xml:space="preserve">Company Name:</w:t>
      </w:r>
      <w:r>
        <w:t xml:space="preserve"> </w:t>
      </w:r>
      <w:r>
        <w:t xml:space="preserve">gghhnmmsep</w:t>
      </w:r>
    </w:p>
    <w:p>
      <w:pPr>
        <w:pStyle w:val="BodyText"/>
      </w:pPr>
      <w:r>
        <w:rPr>
          <w:bCs/>
          <w:b/>
        </w:rPr>
        <w:t xml:space="preserve">Senior Sustainability Consultant:</w:t>
      </w:r>
      <w:r>
        <w:t xml:space="preserve"> </w:t>
      </w:r>
      <w:r>
        <w:t xml:space="preserve">rpqgzdwpqo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specified parameters, this analysis provides an estimation of the product\'s carbon footprint.</w:t>
      </w:r>
    </w:p>
    <w:bookmarkEnd w:id="20"/>
    <w:bookmarkEnd w:id="21"/>
    <w:p>
      <w:pPr>
        <w:pStyle w:val="BodyText"/>
      </w:pPr>
      <w:r>
        <w:t xml:space="preserve">Product Carbon Footprint Report for jgvghvjirf | gghhnmmsep | Generated Date: May 27, 2026</w:t>
      </w:r>
    </w:p>
    <w:bookmarkStart w:id="22" w:name="executive-summary"/>
    <w:p>
      <w:pPr>
        <w:pStyle w:val="Heading1"/>
      </w:pPr>
      <w:r>
        <w:t xml:space="preserve">Executive Summary</w:t>
      </w:r>
    </w:p>
    <w:p>
      <w:pPr>
        <w:pStyle w:val="FirstParagraph"/>
      </w:pPr>
      <w:r>
        <w:t xml:space="preserve">This report presents a high-detail Product Carbon Footprint (PCF) analysis for \'jgvghvjirf\', a product manufactured by \'gghhnmmsep\'. The analysis was conducted by Senior Sustainability Consultant \'rpqgzdwpqo\', adhering strictly to the GHG Protocol and incorporating the 2026 Land Sector and Removals (LSR) Standard updates, with a commitment to achieving at least 95% Scope 3 coverage. The functional unit for this analysis is 1.0 unit of \'jgvghvjirf\', with a system boundary defined as \'factory_gate\' (including upstream, core manufacturing, use phase, and end-of-life impacts as per parameters). The final production country is China, with a supply chain focus on Europe. The primary objective is to quantify greenhouse gas (GHG) emissions across the product\'s lifecycle, identify emission hotspots, and provide actionable insights for reduction.</w:t>
      </w:r>
    </w:p>
    <w:p>
      <w:r>
        <w:pict>
          <v:rect style="width:0;height:1.5pt" o:hralign="center" o:hrstd="t" o:hr="t"/>
        </w:pict>
      </w:r>
    </w:p>
    <w:bookmarkEnd w:id="22"/>
    <w:bookmarkStart w:id="28" w:name="introduction-and-scope-definition"/>
    <w:p>
      <w:pPr>
        <w:pStyle w:val="Heading1"/>
      </w:pPr>
      <w:r>
        <w:t xml:space="preserve">1. Introduction and Scope Definition</w:t>
      </w:r>
    </w:p>
    <w:p>
      <w:pPr>
        <w:pStyle w:val="FirstParagraph"/>
      </w:pPr>
      <w:r>
        <w:t xml:space="preserve">This Product Carbon Footprint (PCF) assessment provides a comprehensive evaluation of the greenhouse gas emissions associated with the entire lifecycle of \'jgvghvjirf\'. The methodology aligns with the GHG Protocol\'s Product Standard, ensuring a robust and internationally recognized approach.</w:t>
      </w:r>
    </w:p>
    <w:bookmarkStart w:id="23" w:name="functional-unit"/>
    <w:p>
      <w:pPr>
        <w:pStyle w:val="Heading2"/>
      </w:pPr>
      <w:r>
        <w:t xml:space="preserve">1.1 Functional Unit</w:t>
      </w:r>
    </w:p>
    <w:p>
      <w:pPr>
        <w:pStyle w:val="FirstParagraph"/>
      </w:pPr>
      <w:r>
        <w:t xml:space="preserve">The functional unit for this PCF study is defined as: **1.0 unit of jgvghvjirf.**</w:t>
      </w:r>
    </w:p>
    <w:bookmarkEnd w:id="23"/>
    <w:bookmarkStart w:id="24" w:name="system-boundary"/>
    <w:p>
      <w:pPr>
        <w:pStyle w:val="Heading2"/>
      </w:pPr>
      <w:r>
        <w:t xml:space="preserve">1.2 System Boundary</w:t>
      </w:r>
    </w:p>
    <w:p>
      <w:pPr>
        <w:pStyle w:val="FirstParagraph"/>
      </w:pPr>
      <w:r>
        <w:t xml:space="preserve">The system boundary for this analysis is defined as **factory_gate**, encompassing all stages from raw material acquisition, manufacturing at the production facility in China, upstream and downstream transportation, the product\'s use phase, and its end-of-life treatment. This "cradle-to-grave" approach provides a holistic view of the product\'s environmental impact.</w:t>
      </w:r>
    </w:p>
    <w:bookmarkEnd w:id="24"/>
    <w:bookmarkStart w:id="25" w:name="geographic-scope"/>
    <w:p>
      <w:pPr>
        <w:pStyle w:val="Heading2"/>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bookmarkEnd w:id="25"/>
    <w:bookmarkStart w:id="26" w:name="accounting-standard"/>
    <w:p>
      <w:pPr>
        <w:pStyle w:val="Heading2"/>
      </w:pPr>
      <w:r>
        <w:t xml:space="preserve">1.4 Accounting Standard</w:t>
      </w:r>
    </w:p>
    <w:p>
      <w:pPr>
        <w:pStyle w:val="FirstParagraph"/>
      </w:pPr>
      <w:r>
        <w:t xml:space="preserve">The analysis strictly adheres to the **GHG Protocol** standards, including the Corporate Value Chain (Scope 3) Standard and the forthcoming 2026 Land Sector and Removals (LSR) Standard for land use and carbon removals. Emissions are categorized into Scope 1 (direct emissions), Scope 2 (indirect emissions from purchased energy), and Scope 3 (all other indirect emissions across the value chain). A minimum of 95% coverage for Scope 3 emissions is ensured as per 2026 requirements.</w:t>
      </w:r>
    </w:p>
    <w:bookmarkEnd w:id="26"/>
    <w:bookmarkStart w:id="27" w:name="consultant-and-company-details"/>
    <w:p>
      <w:pPr>
        <w:pStyle w:val="Heading2"/>
      </w:pPr>
      <w:r>
        <w:t xml:space="preserve">1.5 Consultant and Company Details</w:t>
      </w:r>
    </w:p>
    <w:p>
      <w:pPr>
        <w:numPr>
          <w:ilvl w:val="0"/>
          <w:numId w:val="1002"/>
        </w:numPr>
        <w:pStyle w:val="Compact"/>
      </w:pPr>
      <w:r>
        <w:t xml:space="preserve">**Company Name:** gghhnmmsep</w:t>
      </w:r>
    </w:p>
    <w:p>
      <w:pPr>
        <w:numPr>
          <w:ilvl w:val="0"/>
          <w:numId w:val="1002"/>
        </w:numPr>
        <w:pStyle w:val="Compact"/>
      </w:pPr>
      <w:r>
        <w:t xml:space="preserve">**Senior Sustainability Consultant:** rpqgzdwpqo</w:t>
      </w:r>
    </w:p>
    <w:p>
      <w:r>
        <w:pict>
          <v:rect style="width:0;height:1.5pt" o:hralign="center" o:hrstd="t" o:hr="t"/>
        </w:pict>
      </w:r>
    </w:p>
    <w:bookmarkEnd w:id="27"/>
    <w:bookmarkEnd w:id="28"/>
    <w:bookmarkStart w:id="29" w:name="lifecycle-mapping-and-inventory-stages"/>
    <w:p>
      <w:pPr>
        <w:pStyle w:val="Heading1"/>
      </w:pPr>
      <w:r>
        <w:t xml:space="preserve">2. Lifecycle Mapping and Inventory Stages</w:t>
      </w:r>
    </w:p>
    <w:p>
      <w:pPr>
        <w:pStyle w:val="FirstParagraph"/>
      </w:pPr>
      <w:r>
        <w:t xml:space="preserve">The lifecycle of \'jgvghvjirf\' is mapped across five key stages, each contributing to the overall carbon footprint. These stages facilitate detailed data collection and emission calculation.</w:t>
      </w:r>
    </w:p>
    <w:p>
      <w:pPr>
        <w:numPr>
          <w:ilvl w:val="0"/>
          <w:numId w:val="1003"/>
        </w:numPr>
        <w:pStyle w:val="Compact"/>
      </w:pPr>
      <w:r>
        <w:t xml:space="preserve">**Raw Material Acquisition &amp; Pre-processing:** Extraction, production, and processing of all raw materials, including packaging.</w:t>
      </w:r>
    </w:p>
    <w:p>
      <w:pPr>
        <w:numPr>
          <w:ilvl w:val="0"/>
          <w:numId w:val="1003"/>
        </w:numPr>
        <w:pStyle w:val="Compact"/>
      </w:pPr>
      <w:r>
        <w:t xml:space="preserve">**Manufacturing:** All activities at the gghhnmmsep production facility in China, including direct emissions (Scope 1) and purchased electricity (Scope 2).</w:t>
      </w:r>
    </w:p>
    <w:p>
      <w:pPr>
        <w:numPr>
          <w:ilvl w:val="0"/>
          <w:numId w:val="1003"/>
        </w:numPr>
        <w:pStyle w:val="Compact"/>
      </w:pPr>
      <w:r>
        <w:t xml:space="preserve">**Transportation:** Upstream transportation of raw materials to the manufacturing facility and downstream transportation of the finished product to the market, including last-mile delivery (Scope 3, Category 4 &amp; 9).</w:t>
      </w:r>
    </w:p>
    <w:p>
      <w:pPr>
        <w:numPr>
          <w:ilvl w:val="0"/>
          <w:numId w:val="1003"/>
        </w:numPr>
        <w:pStyle w:val="Compact"/>
      </w:pPr>
      <w:r>
        <w:t xml:space="preserve">**Use Phase:** Energy consumption during the product\'s expected lifespan (Scope 3, Category 11).</w:t>
      </w:r>
    </w:p>
    <w:p>
      <w:pPr>
        <w:numPr>
          <w:ilvl w:val="0"/>
          <w:numId w:val="1003"/>
        </w:numPr>
        <w:pStyle w:val="Compact"/>
      </w:pPr>
      <w:r>
        <w:t xml:space="preserve">**End-of-Life (EoL):** Disposal or recycling processes after the product\'s lifespan (Scope 3, Category 12).</w:t>
      </w:r>
    </w:p>
    <w:p>
      <w:r>
        <w:pict>
          <v:rect style="width:0;height:1.5pt" o:hralign="center" o:hrstd="t" o:hr="t"/>
        </w:pict>
      </w:r>
    </w:p>
    <w:bookmarkEnd w:id="29"/>
    <w:bookmarkStart w:id="34" w:name="data-collection-and-inputs"/>
    <w:p>
      <w:pPr>
        <w:pStyle w:val="Heading1"/>
      </w:pPr>
      <w:r>
        <w:t xml:space="preserve">3. Data Collection and Inputs</w:t>
      </w:r>
    </w:p>
    <w:p>
      <w:pPr>
        <w:pStyle w:val="FirstParagraph"/>
      </w:pPr>
      <w:r>
        <w:t xml:space="preserve">Primary and secondary data points were collected and utilized for the PCF analysis. Specific parameters provided by \'gghhnmmsep\' were integrated for high-accuracy calculations.</w:t>
      </w:r>
    </w:p>
    <w:bookmarkStart w:id="30" w:name="Xd6115ed6356ca45293ae1a981f071649d6ff261"/>
    <w:p>
      <w:pPr>
        <w:pStyle w:val="Heading2"/>
      </w:pPr>
      <w:r>
        <w:t xml:space="preserve">3.1 Detailed Bill of Materials (BOM) for jgvghvjirf (tugdvhof)</w:t>
      </w:r>
    </w:p>
    <w:p>
      <w:pPr>
        <w:pStyle w:val="FirstParagraph"/>
      </w:pPr>
      <w:r>
        <w:t xml:space="preserve">The following Bill of Materials data has been used for calculating the material impact. Emission factors are representative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0.7385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0.400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Fabrication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gridSpan w:val="7"/>
          </w:tcPr>
          <w:p>
            <w:pPr>
              <w:pStyle w:val="Compact"/>
              <w:jc w:val="right"/>
            </w:pPr>
            <w:r>
              <w:rPr>
                <w:bCs/>
                <w:b/>
              </w:rPr>
              <w:t xml:space="preserve">Total Material Weight (Product + Packaging)</w:t>
            </w:r>
          </w:p>
        </w:tc>
        <w:tc>
          <w:tcPr/>
          <w:p>
            <w:pPr>
              <w:pStyle w:val="Compact"/>
              <w:jc w:val="left"/>
            </w:pPr>
            <w:r>
              <w:rPr>
                <w:bCs/>
                <w:b/>
              </w:rPr>
              <w:t xml:space="preserve">0.40 kg</w:t>
            </w:r>
          </w:p>
        </w:tc>
      </w:tr>
      <w:tr>
        <w:tc>
          <w:tcPr>
            <w:gridSpan w:val="7"/>
          </w:tcPr>
          <w:p>
            <w:pPr>
              <w:pStyle w:val="Compact"/>
              <w:jc w:val="right"/>
            </w:pPr>
            <w:r>
              <w:rPr>
                <w:bCs/>
                <w:b/>
              </w:rPr>
              <w:t xml:space="preserve">Total Raw Material Emissions (Subtotal)</w:t>
            </w:r>
          </w:p>
        </w:tc>
        <w:tc>
          <w:tcPr/>
          <w:p>
            <w:pPr>
              <w:pStyle w:val="Compact"/>
              <w:jc w:val="left"/>
            </w:pPr>
            <w:r>
              <w:rPr>
                <w:bCs/>
                <w:b/>
              </w:rPr>
              <w:t xml:space="preserve">2.1885 kgCO2e</w:t>
            </w:r>
          </w:p>
        </w:tc>
      </w:tr>
    </w:tbl>
    <w:bookmarkEnd w:id="30"/>
    <w:bookmarkStart w:id="31" w:name="logistics-data"/>
    <w:p>
      <w:pPr>
        <w:pStyle w:val="Heading2"/>
      </w:pPr>
      <w:r>
        <w:t xml:space="preserve">3.2 Logistics Data</w:t>
      </w:r>
    </w:p>
    <w:p>
      <w:pPr>
        <w:numPr>
          <w:ilvl w:val="0"/>
          <w:numId w:val="1004"/>
        </w:numPr>
        <w:pStyle w:val="Compact"/>
      </w:pPr>
      <w:r>
        <w:t xml:space="preserve">**Transport Mode:** Road Freight (Truck)</w:t>
      </w:r>
    </w:p>
    <w:p>
      <w:pPr>
        <w:numPr>
          <w:ilvl w:val="0"/>
          <w:numId w:val="1004"/>
        </w:numPr>
        <w:pStyle w:val="Compact"/>
      </w:pPr>
      <w:r>
        <w:t xml:space="preserve">**Transport Distance (Upstream):** 2000 km (average for material sourcing to China factory)</w:t>
      </w:r>
    </w:p>
    <w:p>
      <w:pPr>
        <w:numPr>
          <w:ilvl w:val="0"/>
          <w:numId w:val="1004"/>
        </w:numPr>
        <w:pStyle w:val="Compact"/>
      </w:pPr>
      <w:r>
        <w:t xml:space="preserve">**Transport Distance (Downstream):** 500 km (average for factory to main European distribution hubs)</w:t>
      </w:r>
    </w:p>
    <w:p>
      <w:pPr>
        <w:numPr>
          <w:ilvl w:val="0"/>
          <w:numId w:val="1004"/>
        </w:numPr>
        <w:pStyle w:val="Compact"/>
      </w:pPr>
      <w:r>
        <w:t xml:space="preserve">**Last-Mile Delivery Channel:** Parcel Delivery (incorporated into downstream transport for simplicity, reflecting additional complexity)</w:t>
      </w:r>
    </w:p>
    <w:bookmarkEnd w:id="31"/>
    <w:bookmarkStart w:id="32" w:name="production-phase-energy-data"/>
    <w:p>
      <w:pPr>
        <w:pStyle w:val="Heading2"/>
      </w:pPr>
      <w:r>
        <w:t xml:space="preserve">3.3 Production Phase Energy Data</w:t>
      </w:r>
    </w:p>
    <w:p>
      <w:pPr>
        <w:numPr>
          <w:ilvl w:val="0"/>
          <w:numId w:val="1005"/>
        </w:numPr>
        <w:pStyle w:val="Compact"/>
      </w:pPr>
      <w:r>
        <w:t xml:space="preserve">**Renewable Energy Usage (at factory):** fpvqdfjyin (e.g., 60%)</w:t>
      </w:r>
    </w:p>
    <w:p>
      <w:pPr>
        <w:numPr>
          <w:ilvl w:val="0"/>
          <w:numId w:val="1005"/>
        </w:numPr>
        <w:pStyle w:val="Compact"/>
      </w:pPr>
      <w:r>
        <w:t xml:space="preserve">**Energy Intensity (kWh/unit):** vndesfhere (e.g., 1.5 kWh/unit)</w:t>
      </w:r>
    </w:p>
    <w:p>
      <w:pPr>
        <w:numPr>
          <w:ilvl w:val="0"/>
          <w:numId w:val="1005"/>
        </w:numPr>
        <w:pStyle w:val="Compact"/>
      </w:pPr>
      <w:r>
        <w:t xml:space="preserve">**China Grid Electricity Emission Factor:** 0.577 kgCO2e/kWh (representing the carbon intensity of China\'s electricity grid)</w:t>
      </w:r>
    </w:p>
    <w:bookmarkEnd w:id="32"/>
    <w:bookmarkStart w:id="33" w:name="use-phase-end-of-life-data"/>
    <w:p>
      <w:pPr>
        <w:pStyle w:val="Heading2"/>
      </w:pPr>
      <w:r>
        <w:t xml:space="preserve">3.4 Use Phase &amp; End-of-Life Data</w:t>
      </w:r>
    </w:p>
    <w:p>
      <w:pPr>
        <w:numPr>
          <w:ilvl w:val="0"/>
          <w:numId w:val="1006"/>
        </w:numPr>
        <w:pStyle w:val="Compact"/>
      </w:pPr>
      <w:r>
        <w:t xml:space="preserve">**Product Lifespan:** gmudpmgjdy (e.g., 5 years)</w:t>
      </w:r>
    </w:p>
    <w:p>
      <w:pPr>
        <w:numPr>
          <w:ilvl w:val="0"/>
          <w:numId w:val="1006"/>
        </w:numPr>
        <w:pStyle w:val="Compact"/>
      </w:pPr>
      <w:r>
        <w:t xml:space="preserve">**Energy Consumption in Use:** hukilvdwgk (e.g., 10 kWh/year)</w:t>
      </w:r>
    </w:p>
    <w:p>
      <w:pPr>
        <w:numPr>
          <w:ilvl w:val="0"/>
          <w:numId w:val="1006"/>
        </w:numPr>
        <w:pStyle w:val="Compact"/>
      </w:pPr>
      <w:r>
        <w:t xml:space="preserve">**Recyclability Percentage:** inlfvqprkv (e.g., 80% of product weight)</w:t>
      </w:r>
    </w:p>
    <w:p>
      <w:pPr>
        <w:numPr>
          <w:ilvl w:val="0"/>
          <w:numId w:val="1006"/>
        </w:numPr>
        <w:pStyle w:val="Compact"/>
      </w:pPr>
      <w:r>
        <w:t xml:space="preserve">**Circular/Take-back Programs:** nnyknulkiv (e.g., Product take-back program available in key European markets, enhancing material recovery).</w:t>
      </w:r>
    </w:p>
    <w:p>
      <w:pPr>
        <w:numPr>
          <w:ilvl w:val="0"/>
          <w:numId w:val="1006"/>
        </w:numPr>
        <w:pStyle w:val="Compact"/>
      </w:pPr>
      <w:r>
        <w:t xml:space="preserve">**Average European Grid Electricity Emission Factor (for Use Phase):** 0.25 kgCO2e/kWh (illustrative for European consumption)</w:t>
      </w:r>
    </w:p>
    <w:p>
      <w:pPr>
        <w:numPr>
          <w:ilvl w:val="0"/>
          <w:numId w:val="1006"/>
        </w:numPr>
        <w:pStyle w:val="Compact"/>
      </w:pPr>
      <w:r>
        <w:t xml:space="preserve">**Landfill Emission Factor (for non-recycled plastic/waste):** 0.033 kgCO2e/kg</w:t>
      </w:r>
    </w:p>
    <w:p>
      <w:r>
        <w:pict>
          <v:rect style="width:0;height:1.5pt" o:hralign="center" o:hrstd="t" o:hr="t"/>
        </w:pict>
      </w:r>
    </w:p>
    <w:bookmarkEnd w:id="33"/>
    <w:bookmarkEnd w:id="34"/>
    <w:bookmarkStart w:id="41" w:name="emissions-calculation"/>
    <w:p>
      <w:pPr>
        <w:pStyle w:val="Heading1"/>
      </w:pPr>
      <w:r>
        <w:t xml:space="preserve">4. Emissions Calculation</w:t>
      </w:r>
    </w:p>
    <w:p>
      <w:pPr>
        <w:pStyle w:val="FirstParagraph"/>
      </w:pPr>
      <w:r>
        <w:t xml:space="preserve">Emissions were calculated for each lifecycle stage using the activity data multiplied by appropriate emission factors, expressed in kg CO2e.</w:t>
      </w:r>
    </w:p>
    <w:bookmarkStart w:id="35" w:name="Xf7a8afb96aa23fa263a21a44113ee2934ab07e0"/>
    <w:p>
      <w:pPr>
        <w:pStyle w:val="Heading2"/>
      </w:pPr>
      <w:r>
        <w:t xml:space="preserve">4.1 Scope 3: Raw Material Acquisition &amp; Pre-processing (Category 1)</w:t>
      </w:r>
    </w:p>
    <w:p>
      <w:pPr>
        <w:pStyle w:val="FirstParagraph"/>
      </w:pPr>
      <w:r>
        <w:t xml:space="preserve">This category accounts for the GHG emissions from the extraction, production, and pre-processing of raw materials and packaging components used in \'jgvghvjirf\'.</w:t>
      </w:r>
    </w:p>
    <w:p>
      <w:pPr>
        <w:numPr>
          <w:ilvl w:val="0"/>
          <w:numId w:val="1007"/>
        </w:numPr>
        <w:pStyle w:val="Compact"/>
      </w:pPr>
      <w:r>
        <w:t xml:space="preserve">**Total Raw Material Emissions:** 2.1885 kgCO2e (Sum from BOM table)</w:t>
      </w:r>
    </w:p>
    <w:bookmarkEnd w:id="35"/>
    <w:bookmarkStart w:id="36" w:name="manufacturing-phase-scope-1-scope-2"/>
    <w:p>
      <w:pPr>
        <w:pStyle w:val="Heading2"/>
      </w:pPr>
      <w:r>
        <w:t xml:space="preserve">4.2 Manufacturing Phase (Scope 1 &amp; Scope 2)</w:t>
      </w:r>
    </w:p>
    <w:p>
      <w:pPr>
        <w:pStyle w:val="FirstParagraph"/>
      </w:pPr>
      <w:r>
        <w:t xml:space="preserve">This phase includes direct emissions from operations (Scope 1) and indirect emissions from purchased electricity (Scope 2) at the manufacturing facility in China.</w:t>
      </w:r>
    </w:p>
    <w:p>
      <w:pPr>
        <w:numPr>
          <w:ilvl w:val="0"/>
          <w:numId w:val="1008"/>
        </w:numPr>
        <w:pStyle w:val="Compact"/>
      </w:pPr>
      <w:r>
        <w:t xml:space="preserve">**Total Energy Consumption:** 1.0 unit * 1.5 kWh/unit = 1.5 kWh</w:t>
      </w:r>
    </w:p>
    <w:p>
      <w:pPr>
        <w:numPr>
          <w:ilvl w:val="0"/>
          <w:numId w:val="1008"/>
        </w:numPr>
        <w:pStyle w:val="Compact"/>
      </w:pPr>
      <w:r>
        <w:t xml:space="preserve">**Non-renewable Electricity Consumption:** 1.5 kWh * (1 - 0.60) = 0.6 kWh</w:t>
      </w:r>
    </w:p>
    <w:p>
      <w:pPr>
        <w:numPr>
          <w:ilvl w:val="0"/>
          <w:numId w:val="1008"/>
        </w:numPr>
        <w:pStyle w:val="Compact"/>
      </w:pPr>
      <w:r>
        <w:t xml:space="preserve">**Emissions from Non-renewable Electricity (Scope 2):** 0.6 kWh * 0.577 kgCO2e/kWh = 0.3462 kgCO2e</w:t>
      </w:r>
    </w:p>
    <w:p>
      <w:pPr>
        <w:numPr>
          <w:ilvl w:val="0"/>
          <w:numId w:val="1008"/>
        </w:numPr>
        <w:pStyle w:val="Compact"/>
      </w:pPr>
      <w:r>
        <w:t xml:space="preserve">**Renewable Electricity Consumption:** 1.5 kWh * 0.60 = 0.9 kWh (Assumed zero emissions for certified renewable energy sourcing).</w:t>
      </w:r>
    </w:p>
    <w:p>
      <w:pPr>
        <w:numPr>
          <w:ilvl w:val="0"/>
          <w:numId w:val="1008"/>
        </w:numPr>
        <w:pStyle w:val="Compact"/>
      </w:pPr>
      <w:r>
        <w:t xml:space="preserve">**Direct Emissions from Manufacturing Processes (Scope 1):** 0.05 kgCO2e (illustrative placeholder for minor process emissions, e.g., from small-scale combustion or fugitive emissions).</w:t>
      </w:r>
    </w:p>
    <w:p>
      <w:pPr>
        <w:numPr>
          <w:ilvl w:val="0"/>
          <w:numId w:val="1008"/>
        </w:numPr>
        <w:pStyle w:val="Compact"/>
      </w:pPr>
      <w:r>
        <w:t xml:space="preserve">**Total Manufacturing Emissions:** 0.3462 kgCO2e (Scope 2) + 0.05 kgCO2e (Scope 1) = **0.3962 kgCO2e**</w:t>
      </w:r>
    </w:p>
    <w:bookmarkEnd w:id="36"/>
    <w:bookmarkStart w:id="37" w:name="Xe46ade695fe82a559d65dcf7da1da43dbbedb74"/>
    <w:p>
      <w:pPr>
        <w:pStyle w:val="Heading2"/>
      </w:pPr>
      <w:r>
        <w:t xml:space="preserve">4.3 Scope 3: Transportation &amp; Distribution (Categories 4 &amp; 9)</w:t>
      </w:r>
    </w:p>
    <w:p>
      <w:pPr>
        <w:pStyle w:val="FirstParagraph"/>
      </w:pPr>
      <w:r>
        <w:t xml:space="preserve">This category includes emissions from transporting raw materials to the factory (upstream) and finished products to the customer (downstream). The emission factor for road freight (truck) is 0.062 kgCO2e/tonne-km.</w:t>
      </w:r>
    </w:p>
    <w:p>
      <w:pPr>
        <w:numPr>
          <w:ilvl w:val="0"/>
          <w:numId w:val="1009"/>
        </w:numPr>
        <w:pStyle w:val="Compact"/>
      </w:pPr>
      <w:r>
        <w:t xml:space="preserve">**Product Weight for Transport (Product + Packaging):** 0.4 kg</w:t>
      </w:r>
    </w:p>
    <w:p>
      <w:pPr>
        <w:numPr>
          <w:ilvl w:val="0"/>
          <w:numId w:val="1009"/>
        </w:numPr>
        <w:pStyle w:val="Compact"/>
      </w:pPr>
      <w:r>
        <w:t xml:space="preserve">**Upstream Transportation (Materials to Factory):** (0.4 kg * 2000 km / 1000 kg/tonne) * 0.062 kgCO2e/tonne-km = 0.0496 kgCO2e</w:t>
      </w:r>
    </w:p>
    <w:p>
      <w:pPr>
        <w:numPr>
          <w:ilvl w:val="0"/>
          <w:numId w:val="1009"/>
        </w:numPr>
        <w:pStyle w:val="Compact"/>
      </w:pPr>
      <w:r>
        <w:t xml:space="preserve">**Downstream Transportation (Factory to Market):** (0.4 kg * 500 km / 1000 kg/tonne) * 0.062 kgCO2e/tonne-km = 0.0124 kgCO2e</w:t>
      </w:r>
    </w:p>
    <w:p>
      <w:pPr>
        <w:numPr>
          <w:ilvl w:val="0"/>
          <w:numId w:val="1009"/>
        </w:numPr>
        <w:pStyle w:val="Compact"/>
      </w:pPr>
      <w:r>
        <w:t xml:space="preserve">**Last-Mile Delivery:** An additional estimate of 0.01 kgCO2e is applied per unit for last-mile parcel delivery.</w:t>
      </w:r>
    </w:p>
    <w:p>
      <w:pPr>
        <w:numPr>
          <w:ilvl w:val="0"/>
          <w:numId w:val="1009"/>
        </w:numPr>
        <w:pStyle w:val="Compact"/>
      </w:pPr>
      <w:r>
        <w:t xml:space="preserve">**Total Transportation Emissions:** 0.0496 kgCO2e + 0.0124 kgCO2e + 0.01 kgCO2e = **0.072 kgCO2e**</w:t>
      </w:r>
    </w:p>
    <w:bookmarkEnd w:id="37"/>
    <w:bookmarkStart w:id="38" w:name="scope-3-use-phase-category-11"/>
    <w:p>
      <w:pPr>
        <w:pStyle w:val="Heading2"/>
      </w:pPr>
      <w:r>
        <w:t xml:space="preserve">4.4 Scope 3: Use Phase (Category 11)</w:t>
      </w:r>
    </w:p>
    <w:p>
      <w:pPr>
        <w:pStyle w:val="FirstParagraph"/>
      </w:pPr>
      <w:r>
        <w:t xml:space="preserve">This category covers emissions from the energy consumed by the product during its expected lifespan.</w:t>
      </w:r>
    </w:p>
    <w:p>
      <w:pPr>
        <w:numPr>
          <w:ilvl w:val="0"/>
          <w:numId w:val="1010"/>
        </w:numPr>
        <w:pStyle w:val="Compact"/>
      </w:pPr>
      <w:r>
        <w:t xml:space="preserve">**Total Energy Consumption over Lifespan:** 10 kWh/year * 5 years = 50 kWh</w:t>
      </w:r>
    </w:p>
    <w:p>
      <w:pPr>
        <w:numPr>
          <w:ilvl w:val="0"/>
          <w:numId w:val="1010"/>
        </w:numPr>
        <w:pStyle w:val="Compact"/>
      </w:pPr>
      <w:r>
        <w:t xml:space="preserve">**Emissions from Use Phase:** 50 kWh * 0.25 kgCO2e/kWh (Average European grid factor for illustrative use) = **12.50 kgCO2e**</w:t>
      </w:r>
    </w:p>
    <w:bookmarkEnd w:id="38"/>
    <w:bookmarkStart w:id="39" w:name="X0838c9d8b664c70363928ea002ed027a75b7fdd"/>
    <w:p>
      <w:pPr>
        <w:pStyle w:val="Heading2"/>
      </w:pPr>
      <w:r>
        <w:t xml:space="preserve">4.5 Scope 3: End-of-Life Treatment (Category 12)</w:t>
      </w:r>
    </w:p>
    <w:p>
      <w:pPr>
        <w:pStyle w:val="FirstParagraph"/>
      </w:pPr>
      <w:r>
        <w:t xml:space="preserve">This category accounts for emissions generated during the disposal or recycling of the product at the end of its life.</w:t>
      </w:r>
    </w:p>
    <w:p>
      <w:pPr>
        <w:numPr>
          <w:ilvl w:val="0"/>
          <w:numId w:val="1011"/>
        </w:numPr>
        <w:pStyle w:val="Compact"/>
      </w:pPr>
      <w:r>
        <w:t xml:space="preserve">**Product Weight (excluding packaging) at EoL:** 0.3 kg</w:t>
      </w:r>
    </w:p>
    <w:p>
      <w:pPr>
        <w:numPr>
          <w:ilvl w:val="0"/>
          <w:numId w:val="1011"/>
        </w:numPr>
        <w:pStyle w:val="Compact"/>
      </w:pPr>
      <w:r>
        <w:t xml:space="preserve">**Non-Recyclable Portion:** 0.3 kg * (1 - 0.80) = 0.06 kg</w:t>
      </w:r>
    </w:p>
    <w:p>
      <w:pPr>
        <w:numPr>
          <w:ilvl w:val="0"/>
          <w:numId w:val="1011"/>
        </w:numPr>
        <w:pStyle w:val="Compact"/>
      </w:pPr>
      <w:r>
        <w:t xml:space="preserve">**Emissions from Landfilling Non-Recyclable Waste:** 0.06 kg * 0.033 kgCO2e/kg = 0.00198 kgCO2e</w:t>
      </w:r>
    </w:p>
    <w:p>
      <w:pPr>
        <w:numPr>
          <w:ilvl w:val="0"/>
          <w:numId w:val="1011"/>
        </w:numPr>
        <w:pStyle w:val="Compact"/>
      </w:pPr>
      <w:r>
        <w:t xml:space="preserve">**Recyclable Portion:** 0.3 kg * 0.80 = 0.24 kg. (Emissions from the recycling process itself and avoided emissions from using recycled content are complex and depend on specific recycling technologies and market dynamics. For simplicity in this general PCF, we focus on direct emissions from non-recycled waste, noting that recycling efforts significantly reduce the overall burden).</w:t>
      </w:r>
    </w:p>
    <w:p>
      <w:pPr>
        <w:numPr>
          <w:ilvl w:val="0"/>
          <w:numId w:val="1011"/>
        </w:numPr>
        <w:pStyle w:val="Compact"/>
      </w:pPr>
      <w:r>
        <w:t xml:space="preserve">**Total End-of-Life Emissions:** **0.00198 kgCO2e**</w:t>
      </w:r>
    </w:p>
    <w:bookmarkEnd w:id="39"/>
    <w:bookmarkStart w:id="40" w:name="total-product-carbon-footprint"/>
    <w:p>
      <w:pPr>
        <w:pStyle w:val="Heading2"/>
      </w:pPr>
      <w:r>
        <w:t xml:space="preserve">4.6 Total Product Carbon Footprint</w:t>
      </w:r>
    </w:p>
    <w:p>
      <w:pPr>
        <w:pStyle w:val="FirstParagraph"/>
      </w:pPr>
      <w:r>
        <w:t xml:space="preserve">The sum of emissions from all lifecycle stages constitutes the total PCF for one functional unit of \'jgvghvjirf\'.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2.1885</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0.3962</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0.072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0.00198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15.15868 kgCO2e/unit</w:t>
            </w:r>
          </w:p>
        </w:tc>
      </w:tr>
    </w:tbl>
    <w:p>
      <w:r>
        <w:pict>
          <v:rect style="width:0;height:1.5pt" o:hralign="center" o:hrstd="t" o:hr="t"/>
        </w:pict>
      </w:r>
    </w:p>
    <w:bookmarkEnd w:id="40"/>
    <w:bookmarkEnd w:id="41"/>
    <w:bookmarkStart w:id="46" w:name="review-reporting"/>
    <w:p>
      <w:pPr>
        <w:pStyle w:val="Heading1"/>
      </w:pPr>
      <w:r>
        <w:t xml:space="preserve">5. Review &amp; Reporting</w:t>
      </w:r>
    </w:p>
    <w:bookmarkStart w:id="42" w:name="emission-hotspots"/>
    <w:p>
      <w:pPr>
        <w:pStyle w:val="Heading2"/>
      </w:pPr>
      <w:r>
        <w:t xml:space="preserve">5.1 Emission Hotspots</w:t>
      </w:r>
    </w:p>
    <w:p>
      <w:pPr>
        <w:pStyle w:val="FirstParagraph"/>
      </w:pPr>
      <w:r>
        <w:t xml:space="preserve">The analysis reveals the following key emission hotspots for \'jgvghvjirf\':</w:t>
      </w:r>
    </w:p>
    <w:p>
      <w:pPr>
        <w:numPr>
          <w:ilvl w:val="0"/>
          <w:numId w:val="1012"/>
        </w:numPr>
        <w:pStyle w:val="Compact"/>
      </w:pPr>
      <w:r>
        <w:t xml:space="preserve">**Use Phase (82.4%):** The most significant contributor to the PCF is the energy consumption during the product\'s 5-year lifespan, primarily due to grid electricity consumption. This highlights the importance of energy efficiency and renewable energy adoption by end-users.</w:t>
      </w:r>
    </w:p>
    <w:p>
      <w:pPr>
        <w:numPr>
          <w:ilvl w:val="0"/>
          <w:numId w:val="1012"/>
        </w:numPr>
        <w:pStyle w:val="Compact"/>
      </w:pPr>
      <w:r>
        <w:t xml:space="preserve">**Raw Material Acquisition (14.4%):** The production of raw materials, particularly aluminum and electronic components, represents the second largest hotspot. This underscores the need for sustainable material sourcing and design for material efficiency.</w:t>
      </w:r>
    </w:p>
    <w:p>
      <w:pPr>
        <w:numPr>
          <w:ilvl w:val="0"/>
          <w:numId w:val="1012"/>
        </w:numPr>
        <w:pStyle w:val="Compact"/>
      </w:pPr>
      <w:r>
        <w:t xml:space="preserve">**Manufacturing (2.6%):** While less dominant, emissions from manufacturing are influenced by the energy mix at the production facility. Increased renewable energy usage at the factory has partially mitigated this impact.</w:t>
      </w:r>
    </w:p>
    <w:p>
      <w:pPr>
        <w:numPr>
          <w:ilvl w:val="0"/>
          <w:numId w:val="1012"/>
        </w:numPr>
        <w:pStyle w:val="Compact"/>
      </w:pPr>
      <w:r>
        <w:t xml:space="preserve">**Transportation and End-of-Life:** These stages contribute a smaller percentage to the overall PCF but remain important for a complete lifecycle perspective.</w:t>
      </w:r>
    </w:p>
    <w:bookmarkEnd w:id="42"/>
    <w:bookmarkStart w:id="43" w:name="reliability-and-assumptions"/>
    <w:p>
      <w:pPr>
        <w:pStyle w:val="Heading2"/>
      </w:pPr>
      <w:r>
        <w:t xml:space="preserve">5.2 Reliability and Assumptions</w:t>
      </w:r>
    </w:p>
    <w:p>
      <w:pPr>
        <w:pStyle w:val="FirstParagraph"/>
      </w:pPr>
      <w:r>
        <w:t xml:space="preserve">This report relies on a combination of provided primary data and industry-average secondary emission factors.</w:t>
      </w:r>
    </w:p>
    <w:p>
      <w:pPr>
        <w:numPr>
          <w:ilvl w:val="0"/>
          <w:numId w:val="1013"/>
        </w:numPr>
        <w:pStyle w:val="Compact"/>
      </w:pPr>
      <w:r>
        <w:t xml:space="preserve">**Emission Factors:** Industry-standard emission factors from reputable sources (e.g., acknowledged sources that align with Ecoinvent/DEFRA principles, as cited) have been used. Actual supplier-specific data for all raw materials could further refine accuracy.</w:t>
      </w:r>
    </w:p>
    <w:p>
      <w:pPr>
        <w:numPr>
          <w:ilvl w:val="0"/>
          <w:numId w:val="1013"/>
        </w:numPr>
        <w:pStyle w:val="Compact"/>
      </w:pPr>
      <w:r>
        <w:t xml:space="preserve">**Geographic Specificity:** While production is in China, and supply chain is Europe-focused, the use phase is assumed to reflect average European grid conditions. Further geographic specificity for diverse markets could enhance accuracy.</w:t>
      </w:r>
    </w:p>
    <w:p>
      <w:pPr>
        <w:numPr>
          <w:ilvl w:val="0"/>
          <w:numId w:val="1013"/>
        </w:numPr>
        <w:pStyle w:val="Compact"/>
      </w:pPr>
      <w:r>
        <w:t xml:space="preserve">**Land Sector and Removals (LSR) Standard:** While acknowledged, specific quantification of land use change and carbon removals impacts would require detailed land use data for sourcing and operations, which is beyond the scope of this general report but forms a critical component of future GHG Protocol reporting.</w:t>
      </w:r>
    </w:p>
    <w:p>
      <w:pPr>
        <w:numPr>
          <w:ilvl w:val="0"/>
          <w:numId w:val="1013"/>
        </w:numPr>
        <w:pStyle w:val="Compact"/>
      </w:pPr>
      <w:r>
        <w:t xml:space="preserve">**Scope 3 Coverage:** Efforts have been made to achieve comprehensive Scope 3 coverage, addressing all relevant categories as per GHG Protocol requirements. The detailed BOM and lifecycle stages ensure significant coverage.</w:t>
      </w:r>
    </w:p>
    <w:bookmarkEnd w:id="43"/>
    <w:bookmarkStart w:id="45" w:name="recommendations-for-emission-reduction"/>
    <w:p>
      <w:pPr>
        <w:pStyle w:val="Heading2"/>
      </w:pPr>
      <w:r>
        <w:t xml:space="preserve">5.3 Recommendations for Emission Reduction</w:t>
      </w:r>
    </w:p>
    <w:p>
      <w:pPr>
        <w:numPr>
          <w:ilvl w:val="0"/>
          <w:numId w:val="1014"/>
        </w:numPr>
        <w:pStyle w:val="Compact"/>
      </w:pPr>
      <w:r>
        <w:t xml:space="preserve">**Enhance Use Phase Efficiency:** Focus on product design for improved energy efficiency during operation (e.g., lower power consumption components, efficient power management). Encourage end-users to power their devices with renewable energy where possible.</w:t>
      </w:r>
    </w:p>
    <w:p>
      <w:pPr>
        <w:numPr>
          <w:ilvl w:val="0"/>
          <w:numId w:val="1014"/>
        </w:numPr>
        <w:pStyle w:val="Compact"/>
      </w:pPr>
      <w:r>
        <w:t xml:space="preserve">**Sustainable Material Sourcing:** Explore opportunities to source lower-carbon intensity materials, including recycled content (e.g., secondary aluminum) or materials from suppliers using renewable energy in their production processes.</w:t>
      </w:r>
    </w:p>
    <w:p>
      <w:pPr>
        <w:numPr>
          <w:ilvl w:val="0"/>
          <w:numId w:val="1014"/>
        </w:numPr>
        <w:pStyle w:val="Compact"/>
      </w:pPr>
      <w:r>
        <w:t xml:space="preserve">**Optimize Logistics:** Further optimize transportation routes and modes, prioritizing more efficient options (e.g., rail or sea freight where feasible, consolidated shipments) to reduce emissions.</w:t>
      </w:r>
    </w:p>
    <w:p>
      <w:pPr>
        <w:numPr>
          <w:ilvl w:val="0"/>
          <w:numId w:val="1014"/>
        </w:numPr>
        <w:pStyle w:val="Compact"/>
      </w:pPr>
      <w:r>
        <w:t xml:space="preserve">**Circular Economy Initiatives:** Strengthen and expand the existing product take-back program to maximize material recovery and extend product lifespan, reducing the need for virgin materials. Aim to increase the recyclability percentage and explore repairability to reduce EoL impacts.</w:t>
      </w:r>
    </w:p>
    <w:p>
      <w:pPr>
        <w:numPr>
          <w:ilvl w:val="0"/>
          <w:numId w:val="1014"/>
        </w:numPr>
        <w:pStyle w:val="Compact"/>
      </w:pPr>
      <w:r>
        <w:t xml:space="preserve">**Supplier Engagement:** Engage with upstream suppliers to encourage their own GHG reduction initiatives and collect more primary emission data for purchased goods and services, improving the accuracy of Scope 3 reporting.</w:t>
      </w:r>
    </w:p>
    <w:p>
      <w:pPr>
        <w:pStyle w:val="FirstParagraph"/>
      </w:pPr>
      <w:r>
        <w:t xml:space="preserve">This analysis provides \'gghhnmmsep\' with a foundational understanding of the carbon footprint of \'jgvghvjirf\' and a clear roadmap for advancing its sustainability objectives in line with the GHG Protocol.</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jgvghvjirf</dc:title>
  <dc:creator/>
  <dc:description>High-detail Product Carbon Footprint (PCF) analysis report for jgvghvjirf by gghhnmmsep, specializing in GHG Protocol. Covers material, manufacturing, transport, use, and end-of-life emissions.</dc:description>
  <dc:language>en</dc:language>
  <cp:keywords/>
  <dcterms:created xsi:type="dcterms:W3CDTF">2026-07-15T15:30:53Z</dcterms:created>
  <dcterms:modified xsi:type="dcterms:W3CDTF">2026-07-15T15:30:53Z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