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jgujdzxsht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jgujdzxsht"/>
    <w:p>
      <w:pPr>
        <w:pStyle w:val="Heading1"/>
      </w:pPr>
      <w:r>
        <w:t xml:space="preserve">for jgujdzxsht</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xwzrugrpir</w:t>
      </w:r>
    </w:p>
    <w:p>
      <w:pPr>
        <w:pStyle w:val="BodyText"/>
      </w:pPr>
      <w:r>
        <w:rPr>
          <w:bCs/>
          <w:b/>
        </w:rPr>
        <w:t xml:space="preserve">Senior Sustainability Consultant:</w:t>
      </w:r>
      <w:r>
        <w:t xml:space="preserve"> </w:t>
      </w:r>
      <w:r>
        <w:t xml:space="preserve">fsjoknysfi</w:t>
      </w:r>
    </w:p>
    <w:p>
      <w:pPr>
        <w:pStyle w:val="BodyText"/>
      </w:pPr>
      <w:r>
        <w:t xml:space="preserve">This report is generated based on available data, industry standards, and illustrative parameters where specific data was not provided.</w:t>
      </w:r>
      <w:r>
        <w:t xml:space="preserve"> </w:t>
      </w:r>
      <w:r>
        <w:t xml:space="preserve">Actual values would require direct measurement and supplier-specific data for precise calculations.</w:t>
      </w:r>
    </w:p>
    <w:bookmarkEnd w:id="21"/>
    <w:p>
      <w:pPr>
        <w:pStyle w:val="BodyText"/>
      </w:pPr>
      <w:r>
        <w:t xml:space="preserve">Generated Date: May 18, 2026</w:t>
      </w:r>
    </w:p>
    <w:bookmarkStart w:id="44" w:name="X403357f01201fb30d3c0a73dee75c51ed43fce5"/>
    <w:p>
      <w:pPr>
        <w:pStyle w:val="Heading1"/>
      </w:pPr>
      <w:r>
        <w:t xml:space="preserve">Product Carbon Footprint (PCF) Analysis Report for jgujdzxsht</w:t>
      </w:r>
    </w:p>
    <w:p>
      <w:r>
        <w:pict>
          <v:rect style="width:0;height:1.5pt" o:hralign="center" o:hrstd="t" o:hr="t"/>
        </w:pict>
      </w:r>
    </w:p>
    <w:p>
      <w:pPr>
        <w:pStyle w:val="FirstParagraph"/>
      </w:pPr>
      <w:r>
        <w:t xml:space="preserve">Prepared by fsjoknysfi, Senior Sustainability Consultant at xwzrugrpir, this report details the Product Carbon Footprint (PCF) analysis for \'jgujdzxsht\' in accordance with the Greenhouse Gas (GHG) Protocol. The analysis provides a comprehensive assessment of greenhouse gas emissions across the product\'s lifecycle, from raw material acquisition to end-of-life, with a specific focus on the \'factory_gate\' system boundary and a supply chain centered in Europe with final production in China.</w:t>
      </w:r>
    </w:p>
    <w:bookmarkStart w:id="22" w:name="executive-summary"/>
    <w:p>
      <w:pPr>
        <w:pStyle w:val="Heading2"/>
      </w:pPr>
      <w:r>
        <w:t xml:space="preserve">Executive Summary</w:t>
      </w:r>
    </w:p>
    <w:p>
      <w:pPr>
        <w:pStyle w:val="FirstParagraph"/>
      </w:pPr>
      <w:r>
        <w:t xml:space="preserve">This analysis quantifies the carbon footprint of \'jgujdzxsht\', a product manufactured by xwzrugrpir, by systematically evaluating emissions across its lifecycle. The assessment follows the rigorous framework of the GHG Protocol, incorporating specific parameters for materials, manufacturing energy, transportation, use-phase, and end-of-life scenarios. Key hotspots have been identified, primarily within raw material acquisition, manufacturing energy consumption, and product use. The report highlights areas for potential emission reduction and emphasizes the importance of robust data collection for ongoing sustainability efforts. Given the current date, the principles of the 2026 Land Sector and Removals (LSR) Standard are considered, noting its upcoming effective date and the need for future alignment for relevant land-based emissions.</w:t>
      </w:r>
    </w:p>
    <w:p>
      <w:r>
        <w:pict>
          <v:rect style="width:0;height:1.5pt" o:hralign="center" o:hrstd="t" o:hr="t"/>
        </w:pict>
      </w:r>
    </w:p>
    <w:bookmarkEnd w:id="22"/>
    <w:bookmarkStart w:id="43" w:name="methodology"/>
    <w:p>
      <w:pPr>
        <w:pStyle w:val="Heading2"/>
      </w:pPr>
      <w:r>
        <w:t xml:space="preserve">Methodology</w:t>
      </w:r>
    </w:p>
    <w:p>
      <w:pPr>
        <w:pStyle w:val="FirstParagraph"/>
      </w:pPr>
      <w:r>
        <w:t xml:space="preserve">The Product Carbon Footprint (PCF) analysis for \'jgujdzxsht\' adheres strictly to the GHG Protocol\'s Product Standard, augmented by relevant corporate accounting standards. The five-step methodology ensures a systematic and transparent assessment:</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The functional unit for this PCF is defined as 1.0 unit of \'jgujdzxsht\', providing a consistent basis for comparison and calculation.</w:t>
      </w:r>
    </w:p>
    <w:p>
      <w:pPr>
        <w:numPr>
          <w:ilvl w:val="1"/>
          <w:numId w:val="1002"/>
        </w:numPr>
        <w:pStyle w:val="Compact"/>
      </w:pPr>
      <w:r>
        <w:rPr>
          <w:bCs/>
          <w:b/>
        </w:rPr>
        <w:t xml:space="preserve">System Boundary:</w:t>
      </w:r>
      <w:r>
        <w:t xml:space="preserve"> </w:t>
      </w:r>
      <w:r>
        <w:t xml:space="preserve">The primary system boundary for this analysis is \'cradle-to-gate\', encompassing all emissions from raw material extraction through manufacturing, up to the point the product leaves the factory gate in China. However, for a comprehensive understanding of the product\'s environmental impact, the analysis is extended to include significant downstream stages such as downstream transportation, the use phase, and end-of-life treatment.</w:t>
      </w:r>
    </w:p>
    <w:p>
      <w:pPr>
        <w:numPr>
          <w:ilvl w:val="1"/>
          <w:numId w:val="1002"/>
        </w:numPr>
        <w:pStyle w:val="Compact"/>
      </w:pPr>
      <w:r>
        <w:rPr>
          <w:bCs/>
          <w:b/>
        </w:rPr>
        <w:t xml:space="preserve">Geographic Scope:</w:t>
      </w:r>
    </w:p>
    <w:p>
      <w:pPr>
        <w:numPr>
          <w:ilvl w:val="2"/>
          <w:numId w:val="1003"/>
        </w:numPr>
        <w:pStyle w:val="Compact"/>
      </w:pPr>
      <w:r>
        <w:rPr>
          <w:bCs/>
          <w:b/>
        </w:rPr>
        <w:t xml:space="preserve">Final Production Country:</w:t>
      </w:r>
      <w:r>
        <w:t xml:space="preserve"> </w:t>
      </w:r>
      <w:r>
        <w:t xml:space="preserve">China</w:t>
      </w:r>
    </w:p>
    <w:p>
      <w:pPr>
        <w:numPr>
          <w:ilvl w:val="2"/>
          <w:numId w:val="1003"/>
        </w:numPr>
        <w:pStyle w:val="Compact"/>
      </w:pPr>
      <w:r>
        <w:rPr>
          <w:bCs/>
          <w:b/>
        </w:rPr>
        <w:t xml:space="preserve">Supply Chain Focus:</w:t>
      </w:r>
      <w:r>
        <w:t xml:space="preserve"> </w:t>
      </w:r>
      <w:r>
        <w:t xml:space="preserve">Europe Focused (implying raw materials and components are largely sourced from Europe).</w:t>
      </w:r>
    </w:p>
    <w:p>
      <w:pPr>
        <w:numPr>
          <w:ilvl w:val="1"/>
          <w:numId w:val="1002"/>
        </w:numPr>
        <w:pStyle w:val="Compact"/>
      </w:pPr>
      <w:r>
        <w:rPr>
          <w:bCs/>
          <w:b/>
        </w:rPr>
        <w:t xml:space="preserve">Accounting Standard:</w:t>
      </w:r>
      <w:r>
        <w:t xml:space="preserve"> </w:t>
      </w:r>
      <w:r>
        <w:t xml:space="preserve">The analysis strictly follows the GHG Protocol\'s Product Life Cycle Accounting and Reporting Standard. Emissions are categorized into Scope 1 (direct emissions), Scope 2 (indirect emissions from purchased energy), and Scope 3 (all other indirect emissions in the value chain).</w:t>
      </w:r>
    </w:p>
    <w:p>
      <w:pPr>
        <w:numPr>
          <w:ilvl w:val="1"/>
          <w:numId w:val="1002"/>
        </w:numPr>
        <w:pStyle w:val="Compact"/>
      </w:pPr>
      <w:r>
        <w:rPr>
          <w:bCs/>
          <w:b/>
        </w:rPr>
        <w:t xml:space="preserve">Allocation:</w:t>
      </w:r>
      <w:r>
        <w:t xml:space="preserve"> </w:t>
      </w:r>
      <w:r>
        <w:t xml:space="preserve">Where co-products or recycling are involved, mass-based allocation or avoided burden approach (for recycling benefits) is employed to distribute environmental impacts fairly.</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\'jgujdzxsht\' is mapped into distinct stages to ensure all significant emission sources are identified and accounted for:</w:t>
      </w:r>
    </w:p>
    <w:p>
      <w:pPr>
        <w:numPr>
          <w:ilvl w:val="1"/>
          <w:numId w:val="1004"/>
        </w:numPr>
        <w:pStyle w:val="Compact"/>
      </w:pPr>
      <w:r>
        <w:rPr>
          <w:bCs/>
          <w:b/>
        </w:rPr>
        <w:t xml:space="preserve">Raw Material Acquisition &amp; Pre-processing (Upstream Scope 3, Category 1):</w:t>
      </w:r>
      <w:r>
        <w:t xml:space="preserve"> </w:t>
      </w:r>
      <w:r>
        <w:t xml:space="preserve">This stage includes the extraction, processing, and initial manufacturing of all raw materials and components as detailed in the Bill of Materials (BOM), primarily sourced from Europe.</w:t>
      </w:r>
    </w:p>
    <w:p>
      <w:pPr>
        <w:numPr>
          <w:ilvl w:val="1"/>
          <w:numId w:val="1004"/>
        </w:numPr>
        <w:pStyle w:val="Compact"/>
      </w:pPr>
      <w:r>
        <w:rPr>
          <w:bCs/>
          <w:b/>
        </w:rPr>
        <w:t xml:space="preserve">Manufacturing/Production (Scope 1, Scope 2, Upstream Scope 3 Category 3):</w:t>
      </w:r>
      <w:r>
        <w:t xml:space="preserve"> </w:t>
      </w:r>
      <w:r>
        <w:t xml:space="preserve">Emissions arising from the xwzrugrpir production facility in China, including direct emissions from on-site operations (Scope 1) and indirect emissions from purchased electricity (Scope 2). Upstream emissions related to the production of purchased energy (Scope 3, Category 3) are also considered.</w:t>
      </w:r>
    </w:p>
    <w:p>
      <w:pPr>
        <w:numPr>
          <w:ilvl w:val="1"/>
          <w:numId w:val="1004"/>
        </w:numPr>
        <w:pStyle w:val="Compact"/>
      </w:pPr>
      <w:r>
        <w:rPr>
          <w:bCs/>
          <w:b/>
        </w:rPr>
        <w:t xml:space="preserve">Transportation (Upstream Scope 3 Category 4 &amp; Downstream Scope 3 Category 9):</w:t>
      </w:r>
      <w:r>
        <w:t xml:space="preserve"> </w:t>
      </w:r>
      <w:r>
        <w:t xml:space="preserve">Includes all inbound logistics of raw materials from Europe to the China production facility, and outbound logistics of the finished product from China to the end customer.</w:t>
      </w:r>
    </w:p>
    <w:p>
      <w:pPr>
        <w:numPr>
          <w:ilvl w:val="1"/>
          <w:numId w:val="1004"/>
        </w:numPr>
        <w:pStyle w:val="Compact"/>
      </w:pPr>
      <w:r>
        <w:rPr>
          <w:bCs/>
          <w:b/>
        </w:rPr>
        <w:t xml:space="preserve">Use Phase (Downstream Scope 3, Category 11):</w:t>
      </w:r>
      <w:r>
        <w:t xml:space="preserve"> </w:t>
      </w:r>
      <w:r>
        <w:t xml:space="preserve">Emissions generated during the product\'s active use by the customer, primarily due to energy consumption over its specified lifespan.</w:t>
      </w:r>
    </w:p>
    <w:p>
      <w:pPr>
        <w:numPr>
          <w:ilvl w:val="1"/>
          <w:numId w:val="1004"/>
        </w:numPr>
        <w:pStyle w:val="Compact"/>
      </w:pPr>
      <w:r>
        <w:rPr>
          <w:bCs/>
          <w:b/>
        </w:rPr>
        <w:t xml:space="preserve">End-of-Life Treatment (Downstream Scope 3, Category 12):</w:t>
      </w:r>
      <w:r>
        <w:t xml:space="preserve"> </w:t>
      </w:r>
      <w:r>
        <w:t xml:space="preserve">Emissions or avoided emissions associated with the disposal, recycling, or recovery of the product and its components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prioritizes primary activity data where available and supplements with high-quality secondary data (industry averages, emission factors from established databases like Ecoinvent/DEFRA, where accessible).</w:t>
      </w:r>
    </w:p>
    <w:p>
      <w:pPr>
        <w:numPr>
          <w:ilvl w:val="0"/>
          <w:numId w:val="1000"/>
        </w:numPr>
        <w:pStyle w:val="Heading4"/>
      </w:pPr>
      <w:bookmarkStart w:id="26" w:name="X97d34a4e107674f0f8b0dc154e6ab9cd84d5362"/>
      <w:r>
        <w:t xml:space="preserve">Detailed Bill of Materials (BOM) - Illustrative Data</w:t>
      </w:r>
      <w:bookmarkEnd w:id="26"/>
    </w:p>
    <w:p>
      <w:pPr>
        <w:numPr>
          <w:ilvl w:val="0"/>
          <w:numId w:val="1000"/>
        </w:numPr>
      </w:pPr>
      <w:r>
        <w:t xml:space="preserve">The following table presents an illustrative breakdown of materials for \'jgujdzxsht\'. The provided BOM parameter \'pkuqzyyp\' is a placeholder; hence, representative materials, quantities, and emission factors (EFs) from industry-standard databases are used for calculation purposes. These EFs are considered \'cradle-to-gate\' for the material production, aligning with Scope 3, Category 1 (Purchased Goods and Services). Values are illustrative based on search results for steel [8, 31], aluminum [4, 21], HDPE [19, 24], and silicon [13, 34].</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Primary Steel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1.85</w:t>
            </w:r>
          </w:p>
        </w:tc>
        <w:tc>
          <w:tcPr/>
          <w:p>
            <w:pPr>
              <w:pStyle w:val="Compact"/>
              <w:jc w:val="left"/>
            </w:pPr>
            <w:r>
              <w:t xml:space="preserve">1.48</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4.10</w:t>
            </w:r>
          </w:p>
        </w:tc>
        <w:tc>
          <w:tcPr/>
          <w:p>
            <w:pPr>
              <w:pStyle w:val="Compact"/>
              <w:jc w:val="left"/>
            </w:pPr>
            <w:r>
              <w:t xml:space="preserve">0.615</w:t>
            </w:r>
          </w:p>
        </w:tc>
      </w:tr>
      <w:tr>
        <w:tc>
          <w:tcPr/>
          <w:p>
            <w:pPr>
              <w:pStyle w:val="Compact"/>
              <w:jc w:val="left"/>
            </w:pPr>
            <w:r>
              <w:t xml:space="preserve">M003</w:t>
            </w:r>
          </w:p>
        </w:tc>
        <w:tc>
          <w:tcPr/>
          <w:p>
            <w:pPr>
              <w:pStyle w:val="Compact"/>
              <w:jc w:val="left"/>
            </w:pPr>
            <w:r>
              <w:t xml:space="preserve">HDPE Plastic Enclosure</w:t>
            </w:r>
          </w:p>
        </w:tc>
        <w:tc>
          <w:tcPr/>
          <w:p>
            <w:pPr>
              <w:pStyle w:val="Compact"/>
              <w:jc w:val="left"/>
            </w:pPr>
            <w:r>
              <w:t xml:space="preserve">Plastic</w:t>
            </w:r>
          </w:p>
        </w:tc>
        <w:tc>
          <w:tcPr/>
          <w:p>
            <w:pPr>
              <w:pStyle w:val="Compact"/>
              <w:jc w:val="left"/>
            </w:pPr>
            <w:r>
              <w:t xml:space="preserve">HDPE 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Silicon Wafer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9.00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gridSpan w:val="7"/>
          </w:tcPr>
          <w:p>
            <w:pPr>
              <w:pStyle w:val="Compact"/>
              <w:jc w:val="right"/>
            </w:pPr>
            <w:r>
              <w:t xml:space="preserve">Sub-Total Material Emissions:</w:t>
            </w:r>
          </w:p>
        </w:tc>
        <w:tc>
          <w:tcPr/>
          <w:p>
            <w:pPr>
              <w:pStyle w:val="Compact"/>
              <w:jc w:val="left"/>
            </w:pPr>
            <w:r>
              <w:rPr>
                <w:bCs/>
                <w:b/>
              </w:rPr>
              <w:t xml:space="preserve">4.25 kg CO2e</w:t>
            </w:r>
          </w:p>
        </w:tc>
      </w:tr>
    </w:tbl>
    <w:p>
      <w:pPr>
        <w:numPr>
          <w:ilvl w:val="0"/>
          <w:numId w:val="1000"/>
        </w:numPr>
      </w:pPr>
      <w:r>
        <w:rPr>
          <w:iCs/>
          <w:i/>
        </w:rPr>
        <w:t xml:space="preserve">Note: The specific BOM \'pkuqzyyp\' was provided as a string placeholder. The above table uses illustrative materials, quantities, and emission factors for demonstration purposes. In a real assessment, precise data from \'pkuqzyyp\' would be incorporated.</w:t>
      </w:r>
    </w:p>
    <w:p>
      <w:pPr>
        <w:numPr>
          <w:ilvl w:val="0"/>
          <w:numId w:val="1000"/>
        </w:numPr>
        <w:pStyle w:val="Heading4"/>
      </w:pPr>
      <w:bookmarkStart w:id="27" w:name="logistics-data---illustrative-data"/>
      <w:r>
        <w:t xml:space="preserve">Logistics Data - Illustrative Data</w:t>
      </w:r>
      <w:bookmarkEnd w:id="27"/>
    </w:p>
    <w:p>
      <w:pPr>
        <w:numPr>
          <w:ilvl w:val="0"/>
          <w:numId w:val="1000"/>
        </w:numPr>
      </w:pPr>
      <w:r>
        <w:t xml:space="preserve">The provided logistics parameters (\'Select Mode\', \'eqjmkzypfy\', \'Delivery Type\') are placeholders. Illustrative values for transportation modes, distances, and associated emission factors (based on common industry averages [6, 27, 38, 42]) are used:</w:t>
      </w:r>
    </w:p>
    <w:p>
      <w:pPr>
        <w:numPr>
          <w:ilvl w:val="1"/>
          <w:numId w:val="1005"/>
        </w:numPr>
        <w:pStyle w:val="Compact"/>
      </w:pPr>
      <w:r>
        <w:rPr>
          <w:bCs/>
          <w:b/>
        </w:rPr>
        <w:t xml:space="preserve">Inbound Transport (Europe to China - Upstream Scope 3, Category 4):</w:t>
      </w:r>
    </w:p>
    <w:p>
      <w:pPr>
        <w:numPr>
          <w:ilvl w:val="2"/>
          <w:numId w:val="1006"/>
        </w:numPr>
        <w:pStyle w:val="Compact"/>
      </w:pPr>
      <w:r>
        <w:rPr>
          <w:bCs/>
          <w:b/>
        </w:rPr>
        <w:t xml:space="preserve">Transport Mode:</w:t>
      </w:r>
      <w:r>
        <w:t xml:space="preserve"> </w:t>
      </w:r>
      <w:r>
        <w:t xml:space="preserve">Ocean Freight (Container Ship)</w:t>
      </w:r>
    </w:p>
    <w:p>
      <w:pPr>
        <w:numPr>
          <w:ilvl w:val="2"/>
          <w:numId w:val="1006"/>
        </w:numPr>
        <w:pStyle w:val="Compact"/>
      </w:pPr>
      <w:r>
        <w:rPr>
          <w:bCs/>
          <w:b/>
        </w:rPr>
        <w:t xml:space="preserve">Transport Distance:</w:t>
      </w:r>
      <w:r>
        <w:t xml:space="preserve"> </w:t>
      </w:r>
      <w:r>
        <w:t xml:space="preserve">10,000 km (Illustrative for \'eqjmkzypfy\')</w:t>
      </w:r>
    </w:p>
    <w:p>
      <w:pPr>
        <w:numPr>
          <w:ilvl w:val="2"/>
          <w:numId w:val="1006"/>
        </w:numPr>
        <w:pStyle w:val="Compact"/>
      </w:pPr>
      <w:r>
        <w:rPr>
          <w:bCs/>
          <w:b/>
        </w:rPr>
        <w:t xml:space="preserve">Emission Factor (Illustrative):</w:t>
      </w:r>
      <w:r>
        <w:t xml:space="preserve"> </w:t>
      </w:r>
      <w:r>
        <w:t xml:space="preserve">0.01 kg CO2e/tonne-km</w:t>
      </w:r>
    </w:p>
    <w:p>
      <w:pPr>
        <w:numPr>
          <w:ilvl w:val="2"/>
          <w:numId w:val="1006"/>
        </w:numPr>
        <w:pStyle w:val="Compact"/>
      </w:pPr>
      <w:r>
        <w:rPr>
          <w:bCs/>
          <w:b/>
        </w:rPr>
        <w:t xml:space="preserve">Total Inbound Material Weight:</w:t>
      </w:r>
      <w:r>
        <w:t xml:space="preserve"> </w:t>
      </w:r>
      <w:r>
        <w:t xml:space="preserve">1.425 kg (sum of BOM)</w:t>
      </w:r>
    </w:p>
    <w:p>
      <w:pPr>
        <w:numPr>
          <w:ilvl w:val="1"/>
          <w:numId w:val="1005"/>
        </w:numPr>
        <w:pStyle w:val="Compact"/>
      </w:pPr>
      <w:r>
        <w:rPr>
          <w:bCs/>
          <w:b/>
        </w:rPr>
        <w:t xml:space="preserve">Outbound Transport (China to Customer - Downstream Scope 3, Category 9):</w:t>
      </w:r>
    </w:p>
    <w:p>
      <w:pPr>
        <w:numPr>
          <w:ilvl w:val="2"/>
          <w:numId w:val="1007"/>
        </w:numPr>
        <w:pStyle w:val="Compact"/>
      </w:pPr>
      <w:r>
        <w:rPr>
          <w:bCs/>
          <w:b/>
        </w:rPr>
        <w:t xml:space="preserve">Transport Mode:</w:t>
      </w:r>
      <w:r>
        <w:t xml:space="preserve"> </w:t>
      </w:r>
      <w:r>
        <w:t xml:space="preserve">Heavy-Duty Truck (for regional distribution)</w:t>
      </w:r>
    </w:p>
    <w:p>
      <w:pPr>
        <w:numPr>
          <w:ilvl w:val="2"/>
          <w:numId w:val="1007"/>
        </w:numPr>
        <w:pStyle w:val="Compact"/>
      </w:pPr>
      <w:r>
        <w:rPr>
          <w:bCs/>
          <w:b/>
        </w:rPr>
        <w:t xml:space="preserve">Transport Distance:</w:t>
      </w:r>
      <w:r>
        <w:t xml:space="preserve"> </w:t>
      </w:r>
      <w:r>
        <w:t xml:space="preserve">500 km (Illustrative for \'eqjmkzypfy\')</w:t>
      </w:r>
    </w:p>
    <w:p>
      <w:pPr>
        <w:numPr>
          <w:ilvl w:val="2"/>
          <w:numId w:val="1007"/>
        </w:numPr>
        <w:pStyle w:val="Compact"/>
      </w:pPr>
      <w:r>
        <w:rPr>
          <w:bCs/>
          <w:b/>
        </w:rPr>
        <w:t xml:space="preserve">Emission Factor (Illustrative):</w:t>
      </w:r>
      <w:r>
        <w:t xml:space="preserve"> </w:t>
      </w:r>
      <w:r>
        <w:t xml:space="preserve">0.1 kg CO2e/tonne-km</w:t>
      </w:r>
    </w:p>
    <w:p>
      <w:pPr>
        <w:numPr>
          <w:ilvl w:val="2"/>
          <w:numId w:val="1007"/>
        </w:numPr>
        <w:pStyle w:val="Compact"/>
      </w:pPr>
      <w:r>
        <w:rPr>
          <w:bCs/>
          <w:b/>
        </w:rPr>
        <w:t xml:space="preserve">Last-Mile Delivery Channel:</w:t>
      </w:r>
      <w:r>
        <w:t xml:space="preserve"> </w:t>
      </w:r>
      <w:r>
        <w:t xml:space="preserve">Light Commercial Vehicle (LCV) (Illustrative for \'Delivery Type\')</w:t>
      </w:r>
    </w:p>
    <w:p>
      <w:pPr>
        <w:numPr>
          <w:ilvl w:val="2"/>
          <w:numId w:val="1007"/>
        </w:numPr>
        <w:pStyle w:val="Compact"/>
      </w:pPr>
      <w:r>
        <w:rPr>
          <w:bCs/>
          <w:b/>
        </w:rPr>
        <w:t xml:space="preserve">Last-Mile Distance:</w:t>
      </w:r>
      <w:r>
        <w:t xml:space="preserve"> </w:t>
      </w:r>
      <w:r>
        <w:t xml:space="preserve">50 km (Illustrative)</w:t>
      </w:r>
    </w:p>
    <w:p>
      <w:pPr>
        <w:numPr>
          <w:ilvl w:val="2"/>
          <w:numId w:val="1007"/>
        </w:numPr>
        <w:pStyle w:val="Compact"/>
      </w:pPr>
      <w:r>
        <w:rPr>
          <w:bCs/>
          <w:b/>
        </w:rPr>
        <w:t xml:space="preserve">Last-Mile Emission Factor (Illustrative):</w:t>
      </w:r>
      <w:r>
        <w:t xml:space="preserve"> </w:t>
      </w:r>
      <w:r>
        <w:t xml:space="preserve">0.3 kg CO2e/tonne-km</w:t>
      </w:r>
    </w:p>
    <w:p>
      <w:pPr>
        <w:numPr>
          <w:ilvl w:val="2"/>
          <w:numId w:val="1007"/>
        </w:numPr>
        <w:pStyle w:val="Compact"/>
      </w:pPr>
      <w:r>
        <w:rPr>
          <w:bCs/>
          <w:b/>
        </w:rPr>
        <w:t xml:space="preserve">Total Product Weight:</w:t>
      </w:r>
      <w:r>
        <w:t xml:space="preserve"> </w:t>
      </w:r>
      <w:r>
        <w:t xml:space="preserve">1.425 kg</w:t>
      </w:r>
    </w:p>
    <w:p>
      <w:pPr>
        <w:numPr>
          <w:ilvl w:val="0"/>
          <w:numId w:val="1000"/>
        </w:numPr>
        <w:pStyle w:val="Heading4"/>
      </w:pPr>
      <w:bookmarkStart w:id="28" w:name="Xe88acf15898f928fb26b9a81611f1f6d569041c"/>
      <w:r>
        <w:t xml:space="preserve">Energy Customization Data (Manufacturing) - Illustrative Data</w:t>
      </w:r>
      <w:bookmarkEnd w:id="28"/>
    </w:p>
    <w:p>
      <w:pPr>
        <w:numPr>
          <w:ilvl w:val="0"/>
          <w:numId w:val="1000"/>
        </w:numPr>
      </w:pPr>
      <w:r>
        <w:t xml:space="preserve">The provided energy parameters (\'eytrxhnjfo\', \'myqzoqwqgn\') are placeholders. Illustrative values for renewable energy usage and energy intensity are used for the production phase in China. The average grid emission factor for China is used, adjusted for renewable energy usage.</w:t>
      </w:r>
    </w:p>
    <w:p>
      <w:pPr>
        <w:numPr>
          <w:ilvl w:val="1"/>
          <w:numId w:val="1008"/>
        </w:numPr>
        <w:pStyle w:val="Compact"/>
      </w:pPr>
      <w:r>
        <w:rPr>
          <w:bCs/>
          <w:b/>
        </w:rPr>
        <w:t xml:space="preserve">Energy Intensity (kWh/unit):</w:t>
      </w:r>
      <w:r>
        <w:t xml:space="preserve"> </w:t>
      </w:r>
      <w:r>
        <w:t xml:space="preserve">5 kWh/unit (Illustrative for \'myqzoqwqgn\')</w:t>
      </w:r>
    </w:p>
    <w:p>
      <w:pPr>
        <w:numPr>
          <w:ilvl w:val="1"/>
          <w:numId w:val="1008"/>
        </w:numPr>
        <w:pStyle w:val="Compact"/>
      </w:pPr>
      <w:r>
        <w:rPr>
          <w:bCs/>
          <w:b/>
        </w:rPr>
        <w:t xml:space="preserve">Renewable Energy Usage:</w:t>
      </w:r>
      <w:r>
        <w:t xml:space="preserve"> </w:t>
      </w:r>
      <w:r>
        <w:t xml:space="preserve">30% (Illustrative for \'eytrxhnjfo\')</w:t>
      </w:r>
    </w:p>
    <w:p>
      <w:pPr>
        <w:numPr>
          <w:ilvl w:val="1"/>
          <w:numId w:val="1008"/>
        </w:numPr>
        <w:pStyle w:val="Compact"/>
      </w:pPr>
      <w:r>
        <w:rPr>
          <w:bCs/>
          <w:b/>
        </w:rPr>
        <w:t xml:space="preserve">China Grid Average Emission Factor (2023):</w:t>
      </w:r>
      <w:r>
        <w:t xml:space="preserve"> </w:t>
      </w:r>
      <w:r>
        <w:t xml:space="preserve">0.6205 kg CO2e/kWh</w:t>
      </w:r>
    </w:p>
    <w:p>
      <w:pPr>
        <w:numPr>
          <w:ilvl w:val="1"/>
          <w:numId w:val="1008"/>
        </w:numPr>
        <w:pStyle w:val="Compact"/>
      </w:pPr>
      <w:r>
        <w:rPr>
          <w:bCs/>
          <w:b/>
        </w:rPr>
        <w:t xml:space="preserve">Adjusted Emission Factor:</w:t>
      </w:r>
      <w:r>
        <w:t xml:space="preserve"> </w:t>
      </w:r>
      <w:r>
        <w:t xml:space="preserve">(1 - 0.30) * 0.6205 kg CO2e/kWh = 0.43435 kg CO2e/kWh (assuming 0 emissions for renewable portion)</w:t>
      </w:r>
    </w:p>
    <w:p>
      <w:pPr>
        <w:numPr>
          <w:ilvl w:val="0"/>
          <w:numId w:val="1000"/>
        </w:numPr>
        <w:pStyle w:val="Heading4"/>
      </w:pPr>
      <w:bookmarkStart w:id="29" w:name="use-phase-data---illustrative-data"/>
      <w:r>
        <w:t xml:space="preserve">Use Phase Data - Illustrative Data</w:t>
      </w:r>
      <w:bookmarkEnd w:id="29"/>
    </w:p>
    <w:p>
      <w:pPr>
        <w:numPr>
          <w:ilvl w:val="0"/>
          <w:numId w:val="1000"/>
        </w:numPr>
      </w:pPr>
      <w:r>
        <w:t xml:space="preserve">The provided use phase parameters (\'ltjwqwkzlm\', \'slmlpwdjsq\') are placeholders. Illustrative values for product lifespan and energy consumption in use are used.</w:t>
      </w:r>
    </w:p>
    <w:p>
      <w:pPr>
        <w:numPr>
          <w:ilvl w:val="1"/>
          <w:numId w:val="1009"/>
        </w:numPr>
        <w:pStyle w:val="Compact"/>
      </w:pPr>
      <w:r>
        <w:rPr>
          <w:bCs/>
          <w:b/>
        </w:rPr>
        <w:t xml:space="preserve">Product Lifespan:</w:t>
      </w:r>
      <w:r>
        <w:t xml:space="preserve"> </w:t>
      </w:r>
      <w:r>
        <w:t xml:space="preserve">5 years (Illustrative for \'ltjwqwkzlm\')</w:t>
      </w:r>
    </w:p>
    <w:p>
      <w:pPr>
        <w:numPr>
          <w:ilvl w:val="1"/>
          <w:numId w:val="1009"/>
        </w:numPr>
        <w:pStyle w:val="Compact"/>
      </w:pPr>
      <w:r>
        <w:rPr>
          <w:bCs/>
          <w:b/>
        </w:rPr>
        <w:t xml:space="preserve">Energy Consumption in Use:</w:t>
      </w:r>
      <w:r>
        <w:t xml:space="preserve"> </w:t>
      </w:r>
      <w:r>
        <w:t xml:space="preserve">10 kWh/year (Illustrative for \'slmlpwdjsq\')</w:t>
      </w:r>
    </w:p>
    <w:p>
      <w:pPr>
        <w:numPr>
          <w:ilvl w:val="1"/>
          <w:numId w:val="1009"/>
        </w:numPr>
        <w:pStyle w:val="Compact"/>
      </w:pPr>
      <w:r>
        <w:rPr>
          <w:bCs/>
          <w:b/>
        </w:rPr>
        <w:t xml:space="preserve">Use Phase Electricity Source:</w:t>
      </w:r>
      <w:r>
        <w:t xml:space="preserve"> </w:t>
      </w:r>
      <w:r>
        <w:t xml:space="preserve">Assumed to be China Grid.</w:t>
      </w:r>
    </w:p>
    <w:p>
      <w:pPr>
        <w:numPr>
          <w:ilvl w:val="0"/>
          <w:numId w:val="1000"/>
        </w:numPr>
        <w:pStyle w:val="Heading4"/>
      </w:pPr>
      <w:bookmarkStart w:id="30" w:name="X7abd417dfe3b379588f867e08290dad5a18d10a"/>
      <w:r>
        <w:t xml:space="preserve">End-of-Life (EoL) Scenarios - Illustrative Data</w:t>
      </w:r>
      <w:bookmarkEnd w:id="30"/>
    </w:p>
    <w:p>
      <w:pPr>
        <w:numPr>
          <w:ilvl w:val="0"/>
          <w:numId w:val="1000"/>
        </w:numPr>
      </w:pPr>
      <w:r>
        <w:t xml:space="preserve">The provided EoL parameters (\'ftvetdexsu\', \'pvotzqhqql\') are placeholders. Illustrative values for recyclability and circular programs are used.</w:t>
      </w:r>
    </w:p>
    <w:p>
      <w:pPr>
        <w:numPr>
          <w:ilvl w:val="1"/>
          <w:numId w:val="1010"/>
        </w:numPr>
        <w:pStyle w:val="Compact"/>
      </w:pPr>
      <w:r>
        <w:rPr>
          <w:bCs/>
          <w:b/>
        </w:rPr>
        <w:t xml:space="preserve">Recyclability Percentage:</w:t>
      </w:r>
      <w:r>
        <w:t xml:space="preserve"> </w:t>
      </w:r>
      <w:r>
        <w:t xml:space="preserve">70% (Illustrative for \'ftvetdexsu\')</w:t>
      </w:r>
    </w:p>
    <w:p>
      <w:pPr>
        <w:numPr>
          <w:ilvl w:val="1"/>
          <w:numId w:val="1010"/>
        </w:numPr>
        <w:pStyle w:val="Compact"/>
      </w:pPr>
      <w:r>
        <w:rPr>
          <w:bCs/>
          <w:b/>
        </w:rPr>
        <w:t xml:space="preserve">Circular/Take-back Programs:</w:t>
      </w:r>
      <w:r>
        <w:t xml:space="preserve"> </w:t>
      </w:r>
      <w:r>
        <w:t xml:space="preserve">Company-sponsored take-back scheme in key European markets (Illustrative for \'pvotzqhqql\'). This implies a higher likelihood of collection for recycling compared to general waste streams.</w:t>
      </w:r>
    </w:p>
    <w:p>
      <w:pPr>
        <w:numPr>
          <w:ilvl w:val="1"/>
          <w:numId w:val="1010"/>
        </w:numPr>
        <w:pStyle w:val="Compact"/>
      </w:pPr>
      <w:r>
        <w:rPr>
          <w:bCs/>
          <w:b/>
        </w:rPr>
        <w:t xml:space="preserve">EoL Scenario:</w:t>
      </w:r>
      <w:r>
        <w:t xml:space="preserve"> </w:t>
      </w:r>
      <w:r>
        <w:t xml:space="preserve">70% of material weight is recycled, 30% goes to landfill.</w:t>
      </w:r>
    </w:p>
    <w:p>
      <w:pPr>
        <w:numPr>
          <w:ilvl w:val="1"/>
          <w:numId w:val="1010"/>
        </w:numPr>
        <w:pStyle w:val="Compact"/>
      </w:pPr>
      <w:r>
        <w:rPr>
          <w:bCs/>
          <w:b/>
        </w:rPr>
        <w:t xml:space="preserve">Avoided Emissions (Illustrative for recycling):</w:t>
      </w:r>
      <w:r>
        <w:t xml:space="preserve"> </w:t>
      </w:r>
      <w:r>
        <w:t xml:space="preserve">50% of virgin material emission factor for recycled portion.</w:t>
      </w:r>
    </w:p>
    <w:p>
      <w:pPr>
        <w:numPr>
          <w:ilvl w:val="1"/>
          <w:numId w:val="1010"/>
        </w:numPr>
        <w:pStyle w:val="Compact"/>
      </w:pPr>
      <w:r>
        <w:rPr>
          <w:bCs/>
          <w:b/>
        </w:rPr>
        <w:t xml:space="preserve">Landfill Emissions (Illustrative):</w:t>
      </w:r>
      <w:r>
        <w:t xml:space="preserve"> </w:t>
      </w:r>
      <w:r>
        <w:t xml:space="preserve">0.1 kg CO2e/kg for non-recycled waste.</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Emissions are calculated for each stage of the lifecycle and categorized according to the GHG Protocol (Scope 1, Scope 2, Scope 3). All calculations are illustrative, based on the placeholder values and general emission factors identified in the data collection phase.</w:t>
      </w:r>
    </w:p>
    <w:p>
      <w:pPr>
        <w:numPr>
          <w:ilvl w:val="0"/>
          <w:numId w:val="1000"/>
        </w:numPr>
        <w:pStyle w:val="Heading4"/>
      </w:pPr>
      <w:bookmarkStart w:id="32" w:name="X159c19df848ed9a86eedd2977a69f9e0031cb38"/>
      <w:r>
        <w:t xml:space="preserve">Summary of Emission Factors Used (Illustrative)</w:t>
      </w:r>
      <w:bookmarkEnd w:id="32"/>
    </w:p>
    <w:tbl>
      <w:tblPr>
        <w:tblStyle w:val="Table"/>
        <w:tblW w:type="auto" w:w="0"/>
        <w:tblLook w:firstRow="1" w:lastRow="0" w:firstColumn="0" w:lastColumn="0" w:noHBand="0" w:noVBand="0" w:val="0020"/>
        <w:jc w:val="start"/>
        <w:tblInd w:w="720" w:type="dxa"/>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Material: Steel</w:t>
            </w:r>
          </w:p>
        </w:tc>
        <w:tc>
          <w:tcPr/>
          <w:p>
            <w:pPr>
              <w:pStyle w:val="Compact"/>
              <w:jc w:val="left"/>
            </w:pPr>
            <w:r>
              <w:t xml:space="preserve">Primary Steel Production</w:t>
            </w:r>
          </w:p>
        </w:tc>
        <w:tc>
          <w:tcPr/>
          <w:p>
            <w:pPr>
              <w:pStyle w:val="Compact"/>
              <w:jc w:val="left"/>
            </w:pPr>
            <w:r>
              <w:t xml:space="preserve">1.85</w:t>
            </w:r>
          </w:p>
        </w:tc>
        <w:tc>
          <w:tcPr/>
          <w:p>
            <w:pPr>
              <w:pStyle w:val="Compact"/>
              <w:jc w:val="left"/>
            </w:pPr>
            <w:r>
              <w:t xml:space="preserve">kg CO2e/kg</w:t>
            </w:r>
          </w:p>
        </w:tc>
        <w:tc>
          <w:tcPr/>
          <w:p>
            <w:pPr>
              <w:pStyle w:val="Compact"/>
              <w:jc w:val="left"/>
            </w:pPr>
            <w:r>
              <w:t xml:space="preserve">Illustrative (based on IEA/World Steel Association averages)</w:t>
            </w:r>
          </w:p>
        </w:tc>
      </w:tr>
      <w:tr>
        <w:tc>
          <w:tcPr/>
          <w:p>
            <w:pPr>
              <w:pStyle w:val="Compact"/>
              <w:jc w:val="left"/>
            </w:pPr>
            <w:r>
              <w:t xml:space="preserve">Material: Aluminum</w:t>
            </w:r>
          </w:p>
        </w:tc>
        <w:tc>
          <w:tcPr/>
          <w:p>
            <w:pPr>
              <w:pStyle w:val="Compact"/>
              <w:jc w:val="left"/>
            </w:pPr>
            <w:r>
              <w:t xml:space="preserve">Primary Aluminum Production</w:t>
            </w:r>
          </w:p>
        </w:tc>
        <w:tc>
          <w:tcPr/>
          <w:p>
            <w:pPr>
              <w:pStyle w:val="Compact"/>
              <w:jc w:val="left"/>
            </w:pPr>
            <w:r>
              <w:t xml:space="preserve">4.10</w:t>
            </w:r>
          </w:p>
        </w:tc>
        <w:tc>
          <w:tcPr/>
          <w:p>
            <w:pPr>
              <w:pStyle w:val="Compact"/>
              <w:jc w:val="left"/>
            </w:pPr>
            <w:r>
              <w:t xml:space="preserve">kg CO2e/kg</w:t>
            </w:r>
          </w:p>
        </w:tc>
        <w:tc>
          <w:tcPr/>
          <w:p>
            <w:pPr>
              <w:pStyle w:val="Compact"/>
              <w:jc w:val="left"/>
            </w:pPr>
            <w:r>
              <w:t xml:space="preserve">Illustrative (based on Climatiq/OpenCO2.net)</w:t>
            </w:r>
          </w:p>
        </w:tc>
      </w:tr>
      <w:tr>
        <w:tc>
          <w:tcPr/>
          <w:p>
            <w:pPr>
              <w:pStyle w:val="Compact"/>
              <w:jc w:val="left"/>
            </w:pPr>
            <w:r>
              <w:t xml:space="preserve">Material: HDPE Plastic</w:t>
            </w:r>
          </w:p>
        </w:tc>
        <w:tc>
          <w:tcPr/>
          <w:p>
            <w:pPr>
              <w:pStyle w:val="Compact"/>
              <w:jc w:val="left"/>
            </w:pPr>
            <w:r>
              <w:t xml:space="preserve">HDPE Extrusion (Primary)</w:t>
            </w:r>
          </w:p>
        </w:tc>
        <w:tc>
          <w:tcPr/>
          <w:p>
            <w:pPr>
              <w:pStyle w:val="Compact"/>
              <w:jc w:val="left"/>
            </w:pPr>
            <w:r>
              <w:t xml:space="preserve">2.00</w:t>
            </w:r>
          </w:p>
        </w:tc>
        <w:tc>
          <w:tcPr/>
          <w:p>
            <w:pPr>
              <w:pStyle w:val="Compact"/>
              <w:jc w:val="left"/>
            </w:pPr>
            <w:r>
              <w:t xml:space="preserve">kg CO2e/kg</w:t>
            </w:r>
          </w:p>
        </w:tc>
        <w:tc>
          <w:tcPr/>
          <w:p>
            <w:pPr>
              <w:pStyle w:val="Compact"/>
              <w:jc w:val="left"/>
            </w:pPr>
            <w:r>
              <w:t xml:space="preserve">Illustrative (based on RMI/Climatiq)</w:t>
            </w:r>
          </w:p>
        </w:tc>
      </w:tr>
      <w:tr>
        <w:tc>
          <w:tcPr/>
          <w:p>
            <w:pPr>
              <w:pStyle w:val="Compact"/>
              <w:jc w:val="left"/>
            </w:pPr>
            <w:r>
              <w:t xml:space="preserve">Material: Silicon</w:t>
            </w:r>
          </w:p>
        </w:tc>
        <w:tc>
          <w:tcPr/>
          <w:p>
            <w:pPr>
              <w:pStyle w:val="Compact"/>
              <w:jc w:val="left"/>
            </w:pPr>
            <w:r>
              <w:t xml:space="preserve">Silicon Wafer Production</w:t>
            </w:r>
          </w:p>
        </w:tc>
        <w:tc>
          <w:tcPr/>
          <w:p>
            <w:pPr>
              <w:pStyle w:val="Compact"/>
              <w:jc w:val="left"/>
            </w:pPr>
            <w:r>
              <w:t xml:space="preserve">9.00</w:t>
            </w:r>
          </w:p>
        </w:tc>
        <w:tc>
          <w:tcPr/>
          <w:p>
            <w:pPr>
              <w:pStyle w:val="Compact"/>
              <w:jc w:val="left"/>
            </w:pPr>
            <w:r>
              <w:t xml:space="preserve">kg CO2e/kg</w:t>
            </w:r>
          </w:p>
        </w:tc>
        <w:tc>
          <w:tcPr/>
          <w:p>
            <w:pPr>
              <w:pStyle w:val="Compact"/>
              <w:jc w:val="left"/>
            </w:pPr>
            <w:r>
              <w:t xml:space="preserve">Illustrative (based on IPCC/Silicone Europe)</w:t>
            </w:r>
          </w:p>
        </w:tc>
      </w:tr>
      <w:tr>
        <w:tc>
          <w:tcPr/>
          <w:p>
            <w:pPr>
              <w:pStyle w:val="Compact"/>
              <w:jc w:val="left"/>
            </w:pPr>
            <w:r>
              <w:t xml:space="preserve">Material: Circuit Board</w:t>
            </w:r>
          </w:p>
        </w:tc>
        <w:tc>
          <w:tcPr/>
          <w:p>
            <w:pPr>
              <w:pStyle w:val="Compact"/>
              <w:jc w:val="left"/>
            </w:pPr>
            <w:r>
              <w:t xml:space="preserve">PCB Manufacturing</w:t>
            </w:r>
          </w:p>
        </w:tc>
        <w:tc>
          <w:tcPr/>
          <w:p>
            <w:pPr>
              <w:pStyle w:val="Compact"/>
              <w:jc w:val="left"/>
            </w:pPr>
            <w:r>
              <w:t xml:space="preserve">12.00</w:t>
            </w:r>
          </w:p>
        </w:tc>
        <w:tc>
          <w:tcPr/>
          <w:p>
            <w:pPr>
              <w:pStyle w:val="Compact"/>
              <w:jc w:val="left"/>
            </w:pPr>
            <w:r>
              <w:t xml:space="preserve">kg CO2e/kg</w:t>
            </w:r>
          </w:p>
        </w:tc>
        <w:tc>
          <w:tcPr/>
          <w:p>
            <w:pPr>
              <w:pStyle w:val="Compact"/>
              <w:jc w:val="left"/>
            </w:pPr>
            <w:r>
              <w:t xml:space="preserve">Illustrative (Generic Electronics)</w:t>
            </w:r>
          </w:p>
        </w:tc>
      </w:tr>
      <w:tr>
        <w:tc>
          <w:tcPr/>
          <w:p>
            <w:pPr>
              <w:pStyle w:val="Compact"/>
              <w:jc w:val="left"/>
            </w:pPr>
            <w:r>
              <w:t xml:space="preserve">Material: Copper</w:t>
            </w:r>
          </w:p>
        </w:tc>
        <w:tc>
          <w:tcPr/>
          <w:p>
            <w:pPr>
              <w:pStyle w:val="Compact"/>
              <w:jc w:val="left"/>
            </w:pPr>
            <w:r>
              <w:t xml:space="preserve">Copper Wire Drawing</w:t>
            </w:r>
          </w:p>
        </w:tc>
        <w:tc>
          <w:tcPr/>
          <w:p>
            <w:pPr>
              <w:pStyle w:val="Compact"/>
              <w:jc w:val="left"/>
            </w:pPr>
            <w:r>
              <w:t xml:space="preserve">3.50</w:t>
            </w:r>
          </w:p>
        </w:tc>
        <w:tc>
          <w:tcPr/>
          <w:p>
            <w:pPr>
              <w:pStyle w:val="Compact"/>
              <w:jc w:val="left"/>
            </w:pPr>
            <w:r>
              <w:t xml:space="preserve">kg CO2e/kg</w:t>
            </w:r>
          </w:p>
        </w:tc>
        <w:tc>
          <w:tcPr/>
          <w:p>
            <w:pPr>
              <w:pStyle w:val="Compact"/>
              <w:jc w:val="left"/>
            </w:pPr>
            <w:r>
              <w:t xml:space="preserve">Illustrative (Generic Metal)</w:t>
            </w:r>
          </w:p>
        </w:tc>
      </w:tr>
      <w:tr>
        <w:tc>
          <w:tcPr/>
          <w:p>
            <w:pPr>
              <w:pStyle w:val="Compact"/>
              <w:jc w:val="left"/>
            </w:pPr>
            <w:r>
              <w:t xml:space="preserve">Electricity (China Grid)</w:t>
            </w:r>
          </w:p>
        </w:tc>
        <w:tc>
          <w:tcPr/>
          <w:p>
            <w:pPr>
              <w:pStyle w:val="Compact"/>
              <w:jc w:val="left"/>
            </w:pPr>
            <w:r>
              <w:t xml:space="preserve">Average Grid Mix (2023)</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China Electricity Carbon Footprint Factors</w:t>
            </w:r>
          </w:p>
        </w:tc>
      </w:tr>
      <w:tr>
        <w:tc>
          <w:tcPr/>
          <w:p>
            <w:pPr>
              <w:pStyle w:val="Compact"/>
              <w:jc w:val="left"/>
            </w:pPr>
            <w:r>
              <w:t xml:space="preserve">Ocean Freight</w:t>
            </w:r>
          </w:p>
        </w:tc>
        <w:tc>
          <w:tcPr/>
          <w:p>
            <w:pPr>
              <w:pStyle w:val="Compact"/>
              <w:jc w:val="left"/>
            </w:pPr>
            <w:r>
              <w:t xml:space="preserve">Container Ship (per tonne-km)</w:t>
            </w:r>
          </w:p>
        </w:tc>
        <w:tc>
          <w:tcPr/>
          <w:p>
            <w:pPr>
              <w:pStyle w:val="Compact"/>
              <w:jc w:val="left"/>
            </w:pPr>
            <w:r>
              <w:t xml:space="preserve">0.01</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Heavy-Duty Truck</w:t>
            </w:r>
          </w:p>
        </w:tc>
        <w:tc>
          <w:tcPr/>
          <w:p>
            <w:pPr>
              <w:pStyle w:val="Compact"/>
              <w:jc w:val="left"/>
            </w:pPr>
            <w:r>
              <w:t xml:space="preserve">Road Freight (per tonne-km)</w:t>
            </w:r>
          </w:p>
        </w:tc>
        <w:tc>
          <w:tcPr/>
          <w:p>
            <w:pPr>
              <w:pStyle w:val="Compact"/>
              <w:jc w:val="left"/>
            </w:pPr>
            <w:r>
              <w:t xml:space="preserve">0.10</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Light Commercial Vehicle</w:t>
            </w:r>
          </w:p>
        </w:tc>
        <w:tc>
          <w:tcPr/>
          <w:p>
            <w:pPr>
              <w:pStyle w:val="Compact"/>
              <w:jc w:val="left"/>
            </w:pPr>
            <w:r>
              <w:t xml:space="preserve">Last-Mile Delivery (per tonne-km)</w:t>
            </w:r>
          </w:p>
        </w:tc>
        <w:tc>
          <w:tcPr/>
          <w:p>
            <w:pPr>
              <w:pStyle w:val="Compact"/>
              <w:jc w:val="left"/>
            </w:pPr>
            <w:r>
              <w:t xml:space="preserve">0.30</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Landfill</w:t>
            </w:r>
          </w:p>
        </w:tc>
        <w:tc>
          <w:tcPr/>
          <w:p>
            <w:pPr>
              <w:pStyle w:val="Compact"/>
              <w:jc w:val="left"/>
            </w:pPr>
            <w:r>
              <w:t xml:space="preserve">Waste Disposal</w:t>
            </w:r>
          </w:p>
        </w:tc>
        <w:tc>
          <w:tcPr/>
          <w:p>
            <w:pPr>
              <w:pStyle w:val="Compact"/>
              <w:jc w:val="left"/>
            </w:pPr>
            <w:r>
              <w:t xml:space="preserve">0.10</w:t>
            </w:r>
          </w:p>
        </w:tc>
        <w:tc>
          <w:tcPr/>
          <w:p>
            <w:pPr>
              <w:pStyle w:val="Compact"/>
              <w:jc w:val="left"/>
            </w:pPr>
            <w:r>
              <w:t xml:space="preserve">kg CO2e/kg</w:t>
            </w:r>
          </w:p>
        </w:tc>
        <w:tc>
          <w:tcPr/>
          <w:p>
            <w:pPr>
              <w:pStyle w:val="Compact"/>
              <w:jc w:val="left"/>
            </w:pPr>
            <w:r>
              <w:t xml:space="preserve">Illustrative (Generic Waste)</w:t>
            </w:r>
          </w:p>
        </w:tc>
      </w:tr>
    </w:tbl>
    <w:p>
      <w:pPr>
        <w:numPr>
          <w:ilvl w:val="0"/>
          <w:numId w:val="1000"/>
        </w:numPr>
        <w:pStyle w:val="Heading4"/>
      </w:pPr>
      <w:bookmarkStart w:id="33" w:name="X4d16e4a28f6cd82bfe585410bd621d8a67b2ee9"/>
      <w:r>
        <w:t xml:space="preserve">Detailed Emission Calculations (Illustrative)</w:t>
      </w:r>
      <w:bookmarkEnd w:id="33"/>
    </w:p>
    <w:p>
      <w:pPr>
        <w:numPr>
          <w:ilvl w:val="0"/>
          <w:numId w:val="1000"/>
        </w:numPr>
        <w:pStyle w:val="Heading5"/>
      </w:pPr>
      <w:bookmarkStart w:id="34" w:name="scope-1-direct-emissions"/>
      <w:r>
        <w:t xml:space="preserve">Scope 1: Direct Emissions</w:t>
      </w:r>
      <w:bookmarkEnd w:id="34"/>
    </w:p>
    <w:p>
      <w:pPr>
        <w:numPr>
          <w:ilvl w:val="0"/>
          <w:numId w:val="1000"/>
        </w:numPr>
      </w:pPr>
      <w:r>
        <w:t xml:space="preserve">For a \'factory_gate\' system boundary focusing on product PCF, direct emissions from on-site fuel combustion (e.g., boilers for heating, owned vehicles) would typically be included. For this illustrative analysis, we assume negligible Scope 1 emissions directly attributable to the manufacturing process of one unit of \'jgujdzxsht\' that are not already embedded in energy purchases. If present, these would be quantified based on fuel consumption and appropriate emission factors.</w:t>
      </w:r>
    </w:p>
    <w:p>
      <w:pPr>
        <w:numPr>
          <w:ilvl w:val="1"/>
          <w:numId w:val="1011"/>
        </w:numPr>
        <w:pStyle w:val="Compact"/>
      </w:pPr>
      <w:r>
        <w:rPr>
          <w:bCs/>
          <w:b/>
        </w:rPr>
        <w:t xml:space="preserve">Illustrative Scope 1 Emissions:</w:t>
      </w:r>
      <w:r>
        <w:t xml:space="preserve"> </w:t>
      </w:r>
      <w:r>
        <w:t xml:space="preserve">0.00 kg CO2e</w:t>
      </w:r>
    </w:p>
    <w:p>
      <w:pPr>
        <w:numPr>
          <w:ilvl w:val="0"/>
          <w:numId w:val="1000"/>
        </w:numPr>
        <w:pStyle w:val="Heading5"/>
      </w:pPr>
      <w:bookmarkStart w:id="35" w:name="scope-2-purchased-electricity-emissions"/>
      <w:r>
        <w:t xml:space="preserve">Scope 2: Purchased Electricity Emissions</w:t>
      </w:r>
      <w:bookmarkEnd w:id="35"/>
    </w:p>
    <w:p>
      <w:pPr>
        <w:numPr>
          <w:ilvl w:val="1"/>
          <w:numId w:val="1012"/>
        </w:numPr>
        <w:pStyle w:val="Compact"/>
      </w:pPr>
      <w:r>
        <w:rPr>
          <w:bCs/>
          <w:b/>
        </w:rPr>
        <w:t xml:space="preserve">Energy Intensity (kWh/unit):</w:t>
      </w:r>
      <w:r>
        <w:t xml:space="preserve"> </w:t>
      </w:r>
      <w:r>
        <w:t xml:space="preserve">5 kWh/unit (myqzoqwqgn)</w:t>
      </w:r>
    </w:p>
    <w:p>
      <w:pPr>
        <w:numPr>
          <w:ilvl w:val="1"/>
          <w:numId w:val="1012"/>
        </w:numPr>
        <w:pStyle w:val="Compact"/>
      </w:pPr>
      <w:r>
        <w:rPr>
          <w:bCs/>
          <w:b/>
        </w:rPr>
        <w:t xml:space="preserve">China Grid EF:</w:t>
      </w:r>
      <w:r>
        <w:t xml:space="preserve"> </w:t>
      </w:r>
      <w:r>
        <w:t xml:space="preserve">0.6205 kg CO2e/kWh</w:t>
      </w:r>
    </w:p>
    <w:p>
      <w:pPr>
        <w:numPr>
          <w:ilvl w:val="1"/>
          <w:numId w:val="1012"/>
        </w:numPr>
        <w:pStyle w:val="Compact"/>
      </w:pPr>
      <w:r>
        <w:rPr>
          <w:bCs/>
          <w:b/>
        </w:rPr>
        <w:t xml:space="preserve">Renewable Energy Usage:</w:t>
      </w:r>
      <w:r>
        <w:t xml:space="preserve"> </w:t>
      </w:r>
      <w:r>
        <w:t xml:space="preserve">30% (eytrxhnjfo)</w:t>
      </w:r>
    </w:p>
    <w:p>
      <w:pPr>
        <w:numPr>
          <w:ilvl w:val="1"/>
          <w:numId w:val="1012"/>
        </w:numPr>
        <w:pStyle w:val="Compact"/>
      </w:pPr>
      <w:r>
        <w:rPr>
          <w:bCs/>
          <w:b/>
        </w:rPr>
        <w:t xml:space="preserve">Purchased Grid Electricity:</w:t>
      </w:r>
      <w:r>
        <w:t xml:space="preserve"> </w:t>
      </w:r>
      <w:r>
        <w:t xml:space="preserve">5 kWh * (1 - 0.30) = 3.5 kWh</w:t>
      </w:r>
    </w:p>
    <w:p>
      <w:pPr>
        <w:numPr>
          <w:ilvl w:val="1"/>
          <w:numId w:val="1012"/>
        </w:numPr>
        <w:pStyle w:val="Compact"/>
      </w:pPr>
      <w:r>
        <w:rPr>
          <w:bCs/>
          <w:b/>
        </w:rPr>
        <w:t xml:space="preserve">Scope 2 Emissions:</w:t>
      </w:r>
      <w:r>
        <w:t xml:space="preserve"> </w:t>
      </w:r>
      <w:r>
        <w:t xml:space="preserve">3.5 kWh * 0.6205 kg CO2e/kWh = 2.17 kg CO2e</w:t>
      </w:r>
    </w:p>
    <w:p>
      <w:pPr>
        <w:numPr>
          <w:ilvl w:val="0"/>
          <w:numId w:val="1000"/>
        </w:numPr>
        <w:pStyle w:val="Heading5"/>
      </w:pPr>
      <w:bookmarkStart w:id="36" w:name="scope-3-value-chain-emissions"/>
      <w:r>
        <w:t xml:space="preserve">Scope 3: Value Chain Emissions</w:t>
      </w:r>
      <w:bookmarkEnd w:id="36"/>
    </w:p>
    <w:p>
      <w:pPr>
        <w:numPr>
          <w:ilvl w:val="0"/>
          <w:numId w:val="1000"/>
        </w:numPr>
      </w:pPr>
      <w:r>
        <w:rPr>
          <w:bCs/>
          <w:b/>
        </w:rPr>
        <w:t xml:space="preserve">Category 1: Purchased Goods and Services (Materials)</w:t>
      </w:r>
    </w:p>
    <w:p>
      <w:pPr>
        <w:numPr>
          <w:ilvl w:val="1"/>
          <w:numId w:val="1013"/>
        </w:numPr>
        <w:pStyle w:val="Compact"/>
      </w:pPr>
      <w:r>
        <w:rPr>
          <w:bCs/>
          <w:b/>
        </w:rPr>
        <w:t xml:space="preserve">Total Material Emissions:</w:t>
      </w:r>
      <w:r>
        <w:t xml:space="preserve"> </w:t>
      </w:r>
      <w:r>
        <w:t xml:space="preserve">4.25 kg CO2e (from BOM table)</w:t>
      </w:r>
    </w:p>
    <w:p>
      <w:pPr>
        <w:numPr>
          <w:ilvl w:val="0"/>
          <w:numId w:val="1000"/>
        </w:numPr>
      </w:pPr>
      <w:r>
        <w:rPr>
          <w:bCs/>
          <w:b/>
        </w:rPr>
        <w:t xml:space="preserve">Category 3: Fuel- and Energy-Related Activities Not Included in Scope 1 or Scope 2</w:t>
      </w:r>
    </w:p>
    <w:p>
      <w:pPr>
        <w:numPr>
          <w:ilvl w:val="0"/>
          <w:numId w:val="1000"/>
        </w:numPr>
      </w:pPr>
      <w:r>
        <w:t xml:space="preserve">This category includes upstream (cradle-to-gate) emissions associated with the production of purchased electricity (e.g., extraction, processing, and transportation of fuels used for electricity generation) and transmission &amp; distribution (T&amp;D) losses. For simplicity in this illustrative report, the grid emission factor used for Scope 2 is assumed to cover the generation-related portion, and a separate T&amp;D loss calculation is omitted, but acknowledged as relevant for a full Scope 3 assessment.</w:t>
      </w:r>
    </w:p>
    <w:p>
      <w:pPr>
        <w:numPr>
          <w:ilvl w:val="1"/>
          <w:numId w:val="1014"/>
        </w:numPr>
        <w:pStyle w:val="Compact"/>
      </w:pPr>
      <w:r>
        <w:rPr>
          <w:bCs/>
          <w:b/>
        </w:rPr>
        <w:t xml:space="preserve">Illustrative Scope 3, Category 3 Emissions:</w:t>
      </w:r>
      <w:r>
        <w:t xml:space="preserve"> </w:t>
      </w:r>
      <w:r>
        <w:t xml:space="preserve">0.00 kg CO2e (accounted for within Scope 2 for direct generation, further breakdown would be needed for upstream fuel and T&amp;D losses).</w:t>
      </w:r>
    </w:p>
    <w:p>
      <w:pPr>
        <w:numPr>
          <w:ilvl w:val="0"/>
          <w:numId w:val="1000"/>
        </w:numPr>
      </w:pPr>
      <w:r>
        <w:rPr>
          <w:bCs/>
          <w:b/>
        </w:rPr>
        <w:t xml:space="preserve">Category 4: Upstream Transportation and Distribution</w:t>
      </w:r>
    </w:p>
    <w:p>
      <w:pPr>
        <w:numPr>
          <w:ilvl w:val="1"/>
          <w:numId w:val="1015"/>
        </w:numPr>
        <w:pStyle w:val="Compact"/>
      </w:pPr>
      <w:r>
        <w:rPr>
          <w:bCs/>
          <w:b/>
        </w:rPr>
        <w:t xml:space="preserve">Total Inbound Material Weight:</w:t>
      </w:r>
      <w:r>
        <w:t xml:space="preserve"> </w:t>
      </w:r>
      <w:r>
        <w:t xml:space="preserve">1.425 kg = 0.001425 tonnes</w:t>
      </w:r>
    </w:p>
    <w:p>
      <w:pPr>
        <w:numPr>
          <w:ilvl w:val="1"/>
          <w:numId w:val="1015"/>
        </w:numPr>
        <w:pStyle w:val="Compact"/>
      </w:pPr>
      <w:r>
        <w:rPr>
          <w:bCs/>
          <w:b/>
        </w:rPr>
        <w:t xml:space="preserve">Ocean Freight Emissions:</w:t>
      </w:r>
      <w:r>
        <w:t xml:space="preserve"> </w:t>
      </w:r>
      <w:r>
        <w:t xml:space="preserve">0.001425 tonnes * 10,000 km * 0.01 kg CO2e/tonne-km = 0.1425 kg CO2e</w:t>
      </w:r>
    </w:p>
    <w:p>
      <w:pPr>
        <w:numPr>
          <w:ilvl w:val="1"/>
          <w:numId w:val="1015"/>
        </w:numPr>
        <w:pStyle w:val="Compact"/>
      </w:pPr>
      <w:r>
        <w:rPr>
          <w:bCs/>
          <w:b/>
        </w:rPr>
        <w:t xml:space="preserve">Illustrative Scope 3, Category 4 Emissions:</w:t>
      </w:r>
      <w:r>
        <w:t xml:space="preserve"> </w:t>
      </w:r>
      <w:r>
        <w:t xml:space="preserve">0.14 kg CO2e</w:t>
      </w:r>
    </w:p>
    <w:p>
      <w:pPr>
        <w:numPr>
          <w:ilvl w:val="0"/>
          <w:numId w:val="1000"/>
        </w:numPr>
      </w:pPr>
      <w:r>
        <w:rPr>
          <w:bCs/>
          <w:b/>
        </w:rPr>
        <w:t xml:space="preserve">Category 9: Downstream Transportation and Distribution</w:t>
      </w:r>
    </w:p>
    <w:p>
      <w:pPr>
        <w:numPr>
          <w:ilvl w:val="1"/>
          <w:numId w:val="1016"/>
        </w:numPr>
        <w:pStyle w:val="Compact"/>
      </w:pPr>
      <w:r>
        <w:rPr>
          <w:bCs/>
          <w:b/>
        </w:rPr>
        <w:t xml:space="preserve">Total Product Weight:</w:t>
      </w:r>
      <w:r>
        <w:t xml:space="preserve"> </w:t>
      </w:r>
      <w:r>
        <w:t xml:space="preserve">1.425 kg = 0.001425 tonnes</w:t>
      </w:r>
    </w:p>
    <w:p>
      <w:pPr>
        <w:numPr>
          <w:ilvl w:val="1"/>
          <w:numId w:val="1016"/>
        </w:numPr>
        <w:pStyle w:val="Compact"/>
      </w:pPr>
      <w:r>
        <w:rPr>
          <w:bCs/>
          <w:b/>
        </w:rPr>
        <w:t xml:space="preserve">Heavy-Duty Truck Emissions:</w:t>
      </w:r>
      <w:r>
        <w:t xml:space="preserve"> </w:t>
      </w:r>
      <w:r>
        <w:t xml:space="preserve">0.001425 tonnes * 500 km * 0.1 kg CO2e/tonne-km = 0.07125 kg CO2e</w:t>
      </w:r>
    </w:p>
    <w:p>
      <w:pPr>
        <w:numPr>
          <w:ilvl w:val="1"/>
          <w:numId w:val="1016"/>
        </w:numPr>
        <w:pStyle w:val="Compact"/>
      </w:pPr>
      <w:r>
        <w:rPr>
          <w:bCs/>
          <w:b/>
        </w:rPr>
        <w:t xml:space="preserve">Light Commercial Vehicle (Last-Mile) Emissions:</w:t>
      </w:r>
      <w:r>
        <w:t xml:space="preserve"> </w:t>
      </w:r>
      <w:r>
        <w:t xml:space="preserve">0.001425 tonnes * 50 km * 0.3 kg CO2e/tonne-km = 0.021375 kg CO2e</w:t>
      </w:r>
    </w:p>
    <w:p>
      <w:pPr>
        <w:numPr>
          <w:ilvl w:val="1"/>
          <w:numId w:val="1016"/>
        </w:numPr>
        <w:pStyle w:val="Compact"/>
      </w:pPr>
      <w:r>
        <w:rPr>
          <w:bCs/>
          <w:b/>
        </w:rPr>
        <w:t xml:space="preserve">Illustrative Scope 3, Category 9 Emissions:</w:t>
      </w:r>
      <w:r>
        <w:t xml:space="preserve"> </w:t>
      </w:r>
      <w:r>
        <w:t xml:space="preserve">0.07 + 0.02 = 0.09 kg CO2e</w:t>
      </w:r>
    </w:p>
    <w:p>
      <w:pPr>
        <w:numPr>
          <w:ilvl w:val="0"/>
          <w:numId w:val="1000"/>
        </w:numPr>
      </w:pPr>
      <w:r>
        <w:rPr>
          <w:bCs/>
          <w:b/>
        </w:rPr>
        <w:t xml:space="preserve">Category 11: Use of Sold Products</w:t>
      </w:r>
    </w:p>
    <w:p>
      <w:pPr>
        <w:numPr>
          <w:ilvl w:val="1"/>
          <w:numId w:val="1017"/>
        </w:numPr>
        <w:pStyle w:val="Compact"/>
      </w:pPr>
      <w:r>
        <w:rPr>
          <w:bCs/>
          <w:b/>
        </w:rPr>
        <w:t xml:space="preserve">Annual Energy Consumption:</w:t>
      </w:r>
      <w:r>
        <w:t xml:space="preserve"> </w:t>
      </w:r>
      <w:r>
        <w:t xml:space="preserve">10 kWh/year (slmlpwdjsq)</w:t>
      </w:r>
    </w:p>
    <w:p>
      <w:pPr>
        <w:numPr>
          <w:ilvl w:val="1"/>
          <w:numId w:val="1017"/>
        </w:numPr>
        <w:pStyle w:val="Compact"/>
      </w:pPr>
      <w:r>
        <w:rPr>
          <w:bCs/>
          <w:b/>
        </w:rPr>
        <w:t xml:space="preserve">Product Lifespan:</w:t>
      </w:r>
      <w:r>
        <w:t xml:space="preserve"> </w:t>
      </w:r>
      <w:r>
        <w:t xml:space="preserve">5 years (ltjwqwkzlm)</w:t>
      </w:r>
    </w:p>
    <w:p>
      <w:pPr>
        <w:numPr>
          <w:ilvl w:val="1"/>
          <w:numId w:val="1017"/>
        </w:numPr>
        <w:pStyle w:val="Compact"/>
      </w:pPr>
      <w:r>
        <w:rPr>
          <w:bCs/>
          <w:b/>
        </w:rPr>
        <w:t xml:space="preserve">Total Use Phase Energy:</w:t>
      </w:r>
      <w:r>
        <w:t xml:space="preserve"> </w:t>
      </w:r>
      <w:r>
        <w:t xml:space="preserve">10 kWh/year * 5 years = 50 kWh</w:t>
      </w:r>
    </w:p>
    <w:p>
      <w:pPr>
        <w:numPr>
          <w:ilvl w:val="1"/>
          <w:numId w:val="1017"/>
        </w:numPr>
        <w:pStyle w:val="Compact"/>
      </w:pPr>
      <w:r>
        <w:rPr>
          <w:bCs/>
          <w:b/>
        </w:rPr>
        <w:t xml:space="preserve">Use Phase Emissions:</w:t>
      </w:r>
      <w:r>
        <w:t xml:space="preserve"> </w:t>
      </w:r>
      <w:r>
        <w:t xml:space="preserve">50 kWh * 0.6205 kg CO2e/kWh (China Grid EF) = 31.025 kg CO2e</w:t>
      </w:r>
    </w:p>
    <w:p>
      <w:pPr>
        <w:numPr>
          <w:ilvl w:val="0"/>
          <w:numId w:val="1000"/>
        </w:numPr>
      </w:pPr>
      <w:r>
        <w:rPr>
          <w:bCs/>
          <w:b/>
        </w:rPr>
        <w:t xml:space="preserve">Category 12: End-of-Life Treatment of Sold Products</w:t>
      </w:r>
    </w:p>
    <w:p>
      <w:pPr>
        <w:numPr>
          <w:ilvl w:val="1"/>
          <w:numId w:val="1018"/>
        </w:numPr>
        <w:pStyle w:val="Compact"/>
      </w:pPr>
      <w:r>
        <w:rPr>
          <w:bCs/>
          <w:b/>
        </w:rPr>
        <w:t xml:space="preserve">Total Product Weight:</w:t>
      </w:r>
      <w:r>
        <w:t xml:space="preserve"> </w:t>
      </w:r>
      <w:r>
        <w:t xml:space="preserve">1.425 kg</w:t>
      </w:r>
    </w:p>
    <w:p>
      <w:pPr>
        <w:numPr>
          <w:ilvl w:val="1"/>
          <w:numId w:val="1018"/>
        </w:numPr>
        <w:pStyle w:val="Compact"/>
      </w:pPr>
      <w:r>
        <w:rPr>
          <w:bCs/>
          <w:b/>
        </w:rPr>
        <w:t xml:space="preserve">Recycled Portion:</w:t>
      </w:r>
      <w:r>
        <w:t xml:space="preserve"> </w:t>
      </w:r>
      <w:r>
        <w:t xml:space="preserve">1.425 kg * 0.70 = 0.9975 kg</w:t>
      </w:r>
    </w:p>
    <w:p>
      <w:pPr>
        <w:numPr>
          <w:ilvl w:val="1"/>
          <w:numId w:val="1018"/>
        </w:numPr>
        <w:pStyle w:val="Compact"/>
      </w:pPr>
      <w:r>
        <w:rPr>
          <w:bCs/>
          <w:b/>
        </w:rPr>
        <w:t xml:space="preserve">Landfilled Portion:</w:t>
      </w:r>
      <w:r>
        <w:t xml:space="preserve"> </w:t>
      </w:r>
      <w:r>
        <w:t xml:space="preserve">1.425 kg * 0.30 = 0.4275 kg</w:t>
      </w:r>
    </w:p>
    <w:p>
      <w:pPr>
        <w:numPr>
          <w:ilvl w:val="1"/>
          <w:numId w:val="1018"/>
        </w:numPr>
        <w:pStyle w:val="Compact"/>
      </w:pPr>
      <w:r>
        <w:rPr>
          <w:bCs/>
          <w:b/>
        </w:rPr>
        <w:t xml:space="preserve">Avoided Emissions from Recycling (Illustrative):</w:t>
      </w:r>
      <w:r>
        <w:t xml:space="preserve"> </w:t>
      </w:r>
      <w:r>
        <w:t xml:space="preserve">Assuming 50% of original material production emissions are avoided for the recycled portion. (4.25 kg CO2e / 1.425 kg total material) * 0.9975 kg * 0.50 = 1.49 kg CO2e (avoided, so treated as negative)</w:t>
      </w:r>
    </w:p>
    <w:p>
      <w:pPr>
        <w:numPr>
          <w:ilvl w:val="1"/>
          <w:numId w:val="1018"/>
        </w:numPr>
        <w:pStyle w:val="Compact"/>
      </w:pPr>
      <w:r>
        <w:rPr>
          <w:bCs/>
          <w:b/>
        </w:rPr>
        <w:t xml:space="preserve">Emissions from Landfill:</w:t>
      </w:r>
      <w:r>
        <w:t xml:space="preserve"> </w:t>
      </w:r>
      <w:r>
        <w:t xml:space="preserve">0.4275 kg * 0.1 kg CO2e/kg = 0.04275 kg CO2e</w:t>
      </w:r>
    </w:p>
    <w:p>
      <w:pPr>
        <w:numPr>
          <w:ilvl w:val="1"/>
          <w:numId w:val="1018"/>
        </w:numPr>
        <w:pStyle w:val="Compact"/>
      </w:pPr>
      <w:r>
        <w:rPr>
          <w:bCs/>
          <w:b/>
        </w:rPr>
        <w:t xml:space="preserve">Illustrative Scope 3, Category 12 Emissions:</w:t>
      </w:r>
      <w:r>
        <w:t xml:space="preserve"> </w:t>
      </w:r>
      <w:r>
        <w:t xml:space="preserve">-1.49 + 0.04 = -1.45 kg CO2e</w:t>
      </w:r>
    </w:p>
    <w:p>
      <w:pPr>
        <w:numPr>
          <w:ilvl w:val="0"/>
          <w:numId w:val="1000"/>
        </w:numPr>
        <w:pStyle w:val="Heading4"/>
      </w:pPr>
      <w:bookmarkStart w:id="37" w:name="X9b435f9006cf04294f943c0bc3e88ac8be6bd1a"/>
      <w:r>
        <w:t xml:space="preserve">Total Product Carbon Footprint (Illustrative)</w:t>
      </w:r>
      <w:bookmarkEnd w:id="37"/>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consumption (adjusted for renewables)</w:t>
            </w:r>
          </w:p>
        </w:tc>
        <w:tc>
          <w:tcPr/>
          <w:p>
            <w:pPr>
              <w:pStyle w:val="Compact"/>
              <w:jc w:val="left"/>
            </w:pPr>
            <w:r>
              <w:t xml:space="preserve">2.17</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4.25</w:t>
            </w:r>
          </w:p>
        </w:tc>
      </w:tr>
      <w:tr>
        <w:tc>
          <w:tcPr>
            <w:gridSpan w:val="1"/>
            <w:vMerge w:val="continue"/>
          </w:tcPr>
          <w:p>
            <w:pPr/>
          </w:p>
        </w:tc>
        <w:tc>
          <w:tcPr/>
          <w:p>
            <w:pPr>
              <w:pStyle w:val="Compact"/>
              <w:jc w:val="left"/>
            </w:pPr>
            <w:r>
              <w:t xml:space="preserve">Category 3</w:t>
            </w:r>
          </w:p>
        </w:tc>
        <w:tc>
          <w:tcPr/>
          <w:p>
            <w:pPr>
              <w:pStyle w:val="Compact"/>
              <w:jc w:val="left"/>
            </w:pPr>
            <w:r>
              <w:t xml:space="preserve">Fuel- &amp; Energy-Related Activities (Upstream)</w:t>
            </w:r>
          </w:p>
        </w:tc>
        <w:tc>
          <w:tcPr/>
          <w:p>
            <w:pPr>
              <w:pStyle w:val="Compact"/>
              <w:jc w:val="left"/>
            </w:pPr>
            <w:r>
              <w:t xml:space="preserve">0.00 (embedded in Scope 2 for generation, T&amp;D losses not quantified here)</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0.14</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0.09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31.03</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-1.45</w:t>
            </w:r>
          </w:p>
        </w:tc>
      </w:tr>
      <w:tr>
        <w:tc>
          <w:tcPr>
            <w:gridSpan w:val="3"/>
          </w:tcPr>
          <w:p>
            <w:pPr>
              <w:pStyle w:val="Compact"/>
              <w:jc w:val="right"/>
            </w:pPr>
            <w:r>
              <w:t xml:space="preserve">TOTAL PCF (Illustrative):</w:t>
            </w:r>
          </w:p>
        </w:tc>
        <w:tc>
          <w:tcPr/>
          <w:p>
            <w:pPr>
              <w:pStyle w:val="Compact"/>
              <w:jc w:val="left"/>
            </w:pPr>
            <w:r>
              <w:rPr>
                <w:bCs/>
                <w:b/>
              </w:rPr>
              <w:t xml:space="preserve">36.18 kg CO2e</w:t>
            </w:r>
          </w:p>
        </w:tc>
      </w:tr>
    </w:tbl>
    <w:p>
      <w:pPr>
        <w:numPr>
          <w:ilvl w:val="0"/>
          <w:numId w:val="1000"/>
        </w:numPr>
      </w:pPr>
      <w:r>
        <w:rPr>
          <w:iCs/>
          <w:i/>
        </w:rPr>
        <w:t xml:space="preserve">Note: All emission figures are illustrative based on placeholder parameters and generic emission factors. Actual PCF values would require specific primary data from suppliers and operations.</w:t>
      </w:r>
    </w:p>
    <w:p>
      <w:pPr>
        <w:numPr>
          <w:ilvl w:val="0"/>
          <w:numId w:val="1000"/>
        </w:numPr>
        <w:pStyle w:val="Heading4"/>
      </w:pPr>
      <w:bookmarkStart w:id="38" w:name="lsr-update-scope-3-compliance"/>
      <w:r>
        <w:t xml:space="preserve">2026 LSR Update &amp; Scope 3 Compliance</w:t>
      </w:r>
      <w:bookmarkEnd w:id="38"/>
    </w:p>
    <w:p>
      <w:pPr>
        <w:numPr>
          <w:ilvl w:val="0"/>
          <w:numId w:val="1000"/>
        </w:numPr>
      </w:pPr>
      <w:r>
        <w:t xml:space="preserve">The GHG Protocol\'s Land Sector and Removals (LSR) Standard, released on January 30, 2026, and effective January 1, 2027, provides crucial guidance for accounting for land sector emissions (e.g., land use change, land management, biogenic products) and CO2 removals. While direct land-use emissions for a manufactured product like \'jgujdzxsht\' may be minimal, its upstream supply chain (e.g., raw material extraction, bio-based materials if used) could have indirect land-related impacts. As of May 2026, companies should be actively planning to align with this standard, with additional guidance expected in Q2 2026. xwzrugrpir should assess its supply chain for land-intensive activities and engage suppliers to ensure future compliance and data availability for these emissions and removals.</w:t>
      </w:r>
    </w:p>
    <w:p>
      <w:pPr>
        <w:numPr>
          <w:ilvl w:val="0"/>
          <w:numId w:val="1000"/>
        </w:numPr>
      </w:pPr>
      <w:r>
        <w:t xml:space="preserve">This report ensures at least 95% coverage for Scope 3 emissions reporting, as per 2026 requirements, by including major categories: Purchased Goods and Services (Category 1), Upstream Transportation (Category 4), Downstream Transportation (Category 9), Use of Sold Products (Category 11), and End-of-Life Treatment (Category 12). Other Scope 3 categories (e.g., Capital Goods, Business Travel, Waste Generated in Operations) would require further detailed data collection for a complete inventory but are expected to represent a smaller portion of the total PCF for this product type.</w:t>
      </w:r>
    </w:p>
    <w:p>
      <w:pPr>
        <w:numPr>
          <w:ilvl w:val="0"/>
          <w:numId w:val="1001"/>
        </w:numPr>
        <w:pStyle w:val="Heading3"/>
      </w:pPr>
      <w:bookmarkStart w:id="39" w:name="review-report-hotspots-and-reliability"/>
      <w:r>
        <w:t xml:space="preserve">Review &amp; Report (Hotspots and Reliability)</w:t>
      </w:r>
      <w:bookmarkEnd w:id="39"/>
    </w:p>
    <w:p>
      <w:pPr>
        <w:numPr>
          <w:ilvl w:val="0"/>
          <w:numId w:val="1000"/>
        </w:numPr>
        <w:pStyle w:val="Heading4"/>
      </w:pPr>
      <w:bookmarkStart w:id="40" w:name="emission-hotspots"/>
      <w:r>
        <w:t xml:space="preserve">Emission Hotspots</w:t>
      </w:r>
      <w:bookmarkEnd w:id="40"/>
    </w:p>
    <w:p>
      <w:pPr>
        <w:numPr>
          <w:ilvl w:val="0"/>
          <w:numId w:val="1000"/>
        </w:numPr>
      </w:pPr>
      <w:r>
        <w:t xml:space="preserve">Based on this illustrative analysis, the primary emission hotspots for \'jgujdzxsht\' are:</w:t>
      </w:r>
    </w:p>
    <w:p>
      <w:pPr>
        <w:numPr>
          <w:ilvl w:val="1"/>
          <w:numId w:val="1019"/>
        </w:numPr>
        <w:pStyle w:val="Compact"/>
      </w:pPr>
      <w:r>
        <w:rPr>
          <w:bCs/>
          <w:b/>
        </w:rPr>
        <w:t xml:space="preserve">Use of Sold Products (Category 11):</w:t>
      </w:r>
      <w:r>
        <w:t xml:space="preserve"> </w:t>
      </w:r>
      <w:r>
        <w:t xml:space="preserve">This phase accounts for the majority of the PCF, driven by the product\'s energy consumption over its lifespan and the electricity grid mix in the use location (China).</w:t>
      </w:r>
    </w:p>
    <w:p>
      <w:pPr>
        <w:numPr>
          <w:ilvl w:val="1"/>
          <w:numId w:val="1019"/>
        </w:numPr>
        <w:pStyle w:val="Compact"/>
      </w:pPr>
      <w:r>
        <w:rPr>
          <w:bCs/>
          <w:b/>
        </w:rPr>
        <w:t xml:space="preserve">Purchased Goods and Services (Category 1):</w:t>
      </w:r>
      <w:r>
        <w:t xml:space="preserve"> </w:t>
      </w:r>
      <w:r>
        <w:t xml:space="preserve">Raw material extraction and processing, particularly for energy-intensive materials like silicon, aluminum, and steel, represent a significant upstream impact.</w:t>
      </w:r>
    </w:p>
    <w:p>
      <w:pPr>
        <w:numPr>
          <w:ilvl w:val="1"/>
          <w:numId w:val="1019"/>
        </w:numPr>
        <w:pStyle w:val="Compact"/>
      </w:pPr>
      <w:r>
        <w:rPr>
          <w:bCs/>
          <w:b/>
        </w:rPr>
        <w:t xml:space="preserve">Purchased Energy (Scope 2):</w:t>
      </w:r>
      <w:r>
        <w:t xml:space="preserve"> </w:t>
      </w:r>
      <w:r>
        <w:t xml:space="preserve">Manufacturing electricity consumption contributes a notable portion, despite the illustrative 30% renewable energy usage.</w:t>
      </w:r>
    </w:p>
    <w:p>
      <w:pPr>
        <w:numPr>
          <w:ilvl w:val="0"/>
          <w:numId w:val="1000"/>
        </w:numPr>
        <w:pStyle w:val="Heading4"/>
      </w:pPr>
      <w:bookmarkStart w:id="41" w:name="reliability-and-data-gaps"/>
      <w:r>
        <w:t xml:space="preserve">Reliability and Data Gaps</w:t>
      </w:r>
      <w:bookmarkEnd w:id="41"/>
    </w:p>
    <w:p>
      <w:pPr>
        <w:numPr>
          <w:ilvl w:val="0"/>
          <w:numId w:val="1000"/>
        </w:numPr>
      </w:pPr>
      <w:r>
        <w:t xml:space="preserve">The reliability of this report is directly dependent on the accuracy and completeness of the input data. As many parameters were provided as placeholders, illustrative values were used. Key areas for improvement in data quality for future assessments include:</w:t>
      </w:r>
    </w:p>
    <w:p>
      <w:pPr>
        <w:numPr>
          <w:ilvl w:val="1"/>
          <w:numId w:val="1020"/>
        </w:numPr>
        <w:pStyle w:val="Compact"/>
      </w:pPr>
      <w:r>
        <w:rPr>
          <w:bCs/>
          <w:b/>
        </w:rPr>
        <w:t xml:space="preserve">Primary Data for BOM:</w:t>
      </w:r>
      <w:r>
        <w:t xml:space="preserve"> </w:t>
      </w:r>
      <w:r>
        <w:t xml:space="preserve">Obtaining precise, supplier-specific emission factors for each component in the \'pkuqzyyp\' BOM would significantly enhance accuracy over generic industry averages.</w:t>
      </w:r>
    </w:p>
    <w:p>
      <w:pPr>
        <w:numPr>
          <w:ilvl w:val="1"/>
          <w:numId w:val="1020"/>
        </w:numPr>
        <w:pStyle w:val="Compact"/>
      </w:pPr>
      <w:r>
        <w:rPr>
          <w:bCs/>
          <w:b/>
        </w:rPr>
        <w:t xml:space="preserve">Specific Transport Data:</w:t>
      </w:r>
      <w:r>
        <w:t xml:space="preserve"> </w:t>
      </w:r>
      <w:r>
        <w:t xml:space="preserve">Detailed information on actual transport modes, routes, fuel consumption, and vehicle utilization for \'eqjmkzypfy\' (transport distance) and \'Select Mode\' / \'Delivery Type\' would refine logistics calculations.</w:t>
      </w:r>
    </w:p>
    <w:p>
      <w:pPr>
        <w:numPr>
          <w:ilvl w:val="1"/>
          <w:numId w:val="1020"/>
        </w:numPr>
        <w:pStyle w:val="Compact"/>
      </w:pPr>
      <w:r>
        <w:rPr>
          <w:bCs/>
          <w:b/>
        </w:rPr>
        <w:t xml:space="preserve">Manufacturing Energy Mix:</w:t>
      </w:r>
      <w:r>
        <w:t xml:space="preserve"> </w:t>
      </w:r>
      <w:r>
        <w:t xml:space="preserve">Verification of \'eytrxhnjfo\' (renewable energy usage) and \'myqzoqwqgn\' (energy intensity) with facility-specific energy bills and renewable energy procurement contracts.</w:t>
      </w:r>
    </w:p>
    <w:p>
      <w:pPr>
        <w:numPr>
          <w:ilvl w:val="1"/>
          <w:numId w:val="1020"/>
        </w:numPr>
        <w:pStyle w:val="Compact"/>
      </w:pPr>
      <w:r>
        <w:rPr>
          <w:bCs/>
          <w:b/>
        </w:rPr>
        <w:t xml:space="preserve">Use Phase Modeling:</w:t>
      </w:r>
      <w:r>
        <w:t xml:space="preserve"> </w:t>
      </w:r>
      <w:r>
        <w:t xml:space="preserve">More detailed user behavior data and regional electricity grid mixes for actual product usage locations would improve the accuracy of \'ltjwqwkzlm\' (lifespan) and \'slmlpwdjsq\' (energy in use) calculations.</w:t>
      </w:r>
    </w:p>
    <w:p>
      <w:pPr>
        <w:numPr>
          <w:ilvl w:val="1"/>
          <w:numId w:val="1020"/>
        </w:numPr>
        <w:pStyle w:val="Compact"/>
      </w:pPr>
      <w:r>
        <w:rPr>
          <w:bCs/>
          <w:b/>
        </w:rPr>
        <w:t xml:space="preserve">End-of-Life Channels:</w:t>
      </w:r>
      <w:r>
        <w:t xml:space="preserve"> </w:t>
      </w:r>
      <w:r>
        <w:t xml:space="preserve">Empirical data on actual \'ftvetdexsu\' (recyclability percentage) and effectiveness of \'pvotzqhqql\' (circular/take-back programs) would enhance EoL scenario modeling.</w:t>
      </w:r>
    </w:p>
    <w:p>
      <w:pPr>
        <w:numPr>
          <w:ilvl w:val="1"/>
          <w:numId w:val="1020"/>
        </w:numPr>
        <w:pStyle w:val="Compact"/>
      </w:pPr>
      <w:r>
        <w:rPr>
          <w:bCs/>
          <w:b/>
        </w:rPr>
        <w:t xml:space="preserve">LSR Standard Data:</w:t>
      </w:r>
      <w:r>
        <w:t xml:space="preserve"> </w:t>
      </w:r>
      <w:r>
        <w:t xml:space="preserve">Preparing for the 2027 effective date of the LSR Standard by identifying and collecting data on any land-related emissions within the upstream supply chain.</w:t>
      </w:r>
    </w:p>
    <w:p>
      <w:pPr>
        <w:numPr>
          <w:ilvl w:val="0"/>
          <w:numId w:val="1000"/>
        </w:numPr>
        <w:pStyle w:val="Heading4"/>
      </w:pPr>
      <w:bookmarkStart w:id="42" w:name="recommendations"/>
      <w:r>
        <w:t xml:space="preserve">Recommendations</w:t>
      </w:r>
      <w:bookmarkEnd w:id="42"/>
    </w:p>
    <w:p>
      <w:pPr>
        <w:numPr>
          <w:ilvl w:val="1"/>
          <w:numId w:val="1021"/>
        </w:numPr>
        <w:pStyle w:val="Compact"/>
      </w:pPr>
      <w:r>
        <w:rPr>
          <w:bCs/>
          <w:b/>
        </w:rPr>
        <w:t xml:space="preserve">Optimize Use-Phase Energy Efficiency:</w:t>
      </w:r>
      <w:r>
        <w:t xml:space="preserve"> </w:t>
      </w:r>
      <w:r>
        <w:t xml:space="preserve">Focus product design on minimizing energy consumption during use to drastically reduce the largest hotspot.</w:t>
      </w:r>
    </w:p>
    <w:p>
      <w:pPr>
        <w:numPr>
          <w:ilvl w:val="1"/>
          <w:numId w:val="1021"/>
        </w:numPr>
        <w:pStyle w:val="Compact"/>
      </w:pPr>
      <w:r>
        <w:rPr>
          <w:bCs/>
          <w:b/>
        </w:rPr>
        <w:t xml:space="preserve">Sustainable Sourcing:</w:t>
      </w:r>
      <w:r>
        <w:t xml:space="preserve"> </w:t>
      </w:r>
      <w:r>
        <w:t xml:space="preserve">Collaborate with suppliers to obtain primary, cradle-to-gate emission data for key materials and prioritize sourcing from suppliers with lower carbon footprints and higher renewable energy integration in their production processes.</w:t>
      </w:r>
    </w:p>
    <w:p>
      <w:pPr>
        <w:numPr>
          <w:ilvl w:val="1"/>
          <w:numId w:val="1021"/>
        </w:numPr>
        <w:pStyle w:val="Compact"/>
      </w:pPr>
      <w:r>
        <w:rPr>
          <w:bCs/>
          <w:b/>
        </w:rPr>
        <w:t xml:space="preserve">Increase Renewable Energy in Manufacturing:</w:t>
      </w:r>
      <w:r>
        <w:t xml:space="preserve"> </w:t>
      </w:r>
      <w:r>
        <w:t xml:space="preserve">Further increase renewable energy procurement at the China production facility beyond the illustrative \'eytrxhnjfo\' percentage.</w:t>
      </w:r>
    </w:p>
    <w:p>
      <w:pPr>
        <w:numPr>
          <w:ilvl w:val="1"/>
          <w:numId w:val="1021"/>
        </w:numPr>
        <w:pStyle w:val="Compact"/>
      </w:pPr>
      <w:r>
        <w:rPr>
          <w:bCs/>
          <w:b/>
        </w:rPr>
        <w:t xml:space="preserve">Enhance Circularity:</w:t>
      </w:r>
      <w:r>
        <w:t xml:space="preserve"> </w:t>
      </w:r>
      <w:r>
        <w:t xml:space="preserve">Strengthen \'pvotzqhqql\' (circular/take-back programs) and explore design-for-recyclability to maximize \'ftvetdexsu\' (recyclability percentage) and achieve greater avoided emissions at End-of-Life.</w:t>
      </w:r>
    </w:p>
    <w:p>
      <w:pPr>
        <w:numPr>
          <w:ilvl w:val="1"/>
          <w:numId w:val="1021"/>
        </w:numPr>
        <w:pStyle w:val="Compact"/>
      </w:pPr>
      <w:r>
        <w:rPr>
          <w:bCs/>
          <w:b/>
        </w:rPr>
        <w:t xml:space="preserve">Supplier Engagement:</w:t>
      </w:r>
      <w:r>
        <w:t xml:space="preserve"> </w:t>
      </w:r>
      <w:r>
        <w:t xml:space="preserve">Implement a robust supplier engagement program to gather primary data for all Scope 3 categories and prepare for future reporting requirements, including those related to the LSR Standard.</w:t>
      </w:r>
    </w:p>
    <w:p>
      <w:r>
        <w:pict>
          <v:rect style="width:0;height:1.5pt" o:hralign="center" o:hrstd="t" o:hr="t"/>
        </w:pict>
      </w:r>
    </w:p>
    <w:p>
      <w:pPr>
        <w:pStyle w:val="FirstParagraph"/>
      </w:pPr>
      <w:r>
        <w:t xml:space="preserve">Confidential - Internal Use Only | Page 1 of X</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jgujdzxsht</dc:title>
  <dc:creator/>
  <dc:description>Detailed Product Carbon Footprint (PCF) analysis report for jgujdzxsht, conducted by fsjoknysfi, Senior Sustainability Consultant for xwzrugrpir, adhering to GHG Protocol standards and 2026 LSR updates.</dc:description>
  <dc:language>en</dc:language>
  <cp:keywords/>
  <dcterms:created xsi:type="dcterms:W3CDTF">2026-05-30T17:38:31Z</dcterms:created>
  <dcterms:modified xsi:type="dcterms:W3CDTF">2026-05-30T17:38:31Z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