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jgnhstxqmn</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jgnhstxqmn</w:t>
      </w:r>
    </w:p>
    <w:p>
      <w:pPr>
        <w:pStyle w:val="BodyText"/>
      </w:pPr>
      <w:r>
        <w:rPr>
          <w:bCs/>
          <w:b/>
        </w:rPr>
        <w:t xml:space="preserve">Company Name:</w:t>
      </w:r>
      <w:r>
        <w:t xml:space="preserve"> </w:t>
      </w:r>
      <w:r>
        <w:t xml:space="preserve">eqfkdmzzzq</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kjypmeloiv</w:t>
      </w:r>
    </w:p>
    <w:p>
      <w:pPr>
        <w:pStyle w:val="BodyText"/>
      </w:pPr>
      <w:r>
        <w:t xml:space="preserve">Disclaimer: This report is generated based on available data and industry standards, incorporating specific parameters provided. Emission factors used are illustrative where primary data was not available and are sourced from recognized databases or estimates.</w:t>
      </w:r>
    </w:p>
    <w:bookmarkEnd w:id="20"/>
    <w:bookmarkStart w:id="21" w:name="X10f14d656c0fa3286bbcde5fe082d83dd1caacf"/>
    <w:p>
      <w:pPr>
        <w:pStyle w:val="Heading1"/>
      </w:pPr>
      <w:r>
        <w:t xml:space="preserve">Product Carbon Footprint Report: jgnhstxqmn</w:t>
      </w:r>
    </w:p>
    <w:p>
      <w:pPr>
        <w:pStyle w:val="FirstParagraph"/>
      </w:pPr>
      <w:r>
        <w:t xml:space="preserve">Generated Date: May 27, 2026</w:t>
      </w:r>
    </w:p>
    <w:p>
      <w:pPr>
        <w:pStyle w:val="BodyText"/>
      </w:pPr>
      <w:r>
        <w:t xml:space="preserve">Senior Sustainability Consultant: kjypmeloiv</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jgnhstxqmn, manufactured by eqfkdmzzzq. The analysis adheres to the GHG Protocol accounting standard, incorporating the latest 2026 Land Sector and Removals (LSR) Standard updates and stringent Scope 3 reporting requirements, targeting at least 95% coverage. The assessment covers the full product lifecycle, from raw material acquisition through production, transportation, use, and end-of-life. Key emission hotspots are identified, and recommendations for emission reduction are provided, emphasizing a cradle-to-grave perspective despite the \'factory_gate\' primary system boundary definition for direct production activities. All calculations leverage specific Bill of Materials (BOM), energy, logistics, and end-of-life data provided for enhanced accuracy.</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In response to growing global sustainability imperatives, eqfkdmzzzq commissioned this Product Carbon Footprint (PCF) analysis for its product, jgnhstxqmn. The objective is to quantify the total greenhouse gas (GHG) emissions associated with the product across its entire lifecycle, identify major emission sources, and provide actionable insights for decarbonization efforts. This study is conducted by kjypmeloiv, a Senior Sustainability Consultant specializing in GHG Protocol methodologies.</w:t>
      </w:r>
    </w:p>
    <w:p>
      <w:r>
        <w:pict>
          <v:rect style="width:0;height:1.5pt" o:hralign="center" o:hrstd="t" o:hr="t"/>
        </w:pict>
      </w:r>
    </w:p>
    <w:bookmarkEnd w:id="23"/>
    <w:bookmarkStart w:id="34" w:name="methodology"/>
    <w:p>
      <w:pPr>
        <w:pStyle w:val="Heading2"/>
      </w:pPr>
      <w:r>
        <w:t xml:space="preserve">2. Methodology</w:t>
      </w:r>
    </w:p>
    <w:p>
      <w:pPr>
        <w:pStyle w:val="FirstParagraph"/>
      </w:pPr>
      <w:r>
        <w:t xml:space="preserve">The PCF analysis follows the Greenhouse Gas Protocol (GHG Protocol) standards, a widely recognized framework for GHG accounting. The methodology encompasses five key steps:</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jgnhstxqmn.</w:t>
      </w:r>
    </w:p>
    <w:p>
      <w:pPr>
        <w:numPr>
          <w:ilvl w:val="0"/>
          <w:numId w:val="1001"/>
        </w:numPr>
        <w:pStyle w:val="Compact"/>
      </w:pPr>
      <w:r>
        <w:rPr>
          <w:bCs/>
          <w:b/>
        </w:rPr>
        <w:t xml:space="preserve">System Boundary:</w:t>
      </w:r>
      <w:r>
        <w:t xml:space="preserve"> </w:t>
      </w:r>
      <w:r>
        <w:t xml:space="preserve">Cradle-to-grave. While the primary system boundary for direct production is defined as \'factory_gate\', the analysis extends to include downstream transportation, the use phase, and end-of-life scenarios as Scope 3 emissions, as per the detailed parameter requirements for a comprehensive PCF.</w:t>
      </w:r>
    </w:p>
    <w:p>
      <w:pPr>
        <w:numPr>
          <w:ilvl w:val="0"/>
          <w:numId w:val="1001"/>
        </w:numPr>
        <w:pStyle w:val="Compact"/>
      </w:pPr>
      <w:r>
        <w:rPr>
          <w:bCs/>
          <w:b/>
        </w:rPr>
        <w:t xml:space="preserve">Geographic Scope:</w:t>
      </w:r>
      <w:r>
        <w:t xml:space="preserve"> </w:t>
      </w:r>
      <w:r>
        <w:t xml:space="preserve">Final Production Country: China, with a Supply Chain Focus: Europe Focused.</w:t>
      </w:r>
    </w:p>
    <w:p>
      <w:pPr>
        <w:numPr>
          <w:ilvl w:val="0"/>
          <w:numId w:val="1001"/>
        </w:numPr>
        <w:pStyle w:val="Compact"/>
      </w:pPr>
      <w:r>
        <w:rPr>
          <w:bCs/>
          <w:b/>
        </w:rPr>
        <w:t xml:space="preserve">Accounting Standard:</w:t>
      </w:r>
      <w:r>
        <w:t xml:space="preserve"> </w:t>
      </w:r>
      <w:r>
        <w:t xml:space="preserve">GHG Protocol, specifically referencing the Corporate Accounting and Reporting Standard and the Corporate Value Chain (Scope 3) Accounting and Reporting Standard.</w:t>
      </w:r>
    </w:p>
    <w:p>
      <w:pPr>
        <w:numPr>
          <w:ilvl w:val="0"/>
          <w:numId w:val="1001"/>
        </w:numPr>
        <w:pStyle w:val="Compact"/>
      </w:pPr>
      <w:r>
        <w:rPr>
          <w:bCs/>
          <w:b/>
        </w:rPr>
        <w:t xml:space="preserve">Allocation:</w:t>
      </w:r>
      <w:r>
        <w:t xml:space="preserve"> </w:t>
      </w:r>
      <w:r>
        <w:t xml:space="preserve">Emissions are directly allocated to the functional unit. For shared processes (e.g., transport, factory energy), emissions are allocated proportionally based on weight or activity data relevant to jgnhstxqmn.</w:t>
      </w:r>
    </w:p>
    <w:bookmarkEnd w:id="24"/>
    <w:bookmarkStart w:id="25" w:name="map-lifecycle-lci-inventory-stages"/>
    <w:p>
      <w:pPr>
        <w:pStyle w:val="Heading3"/>
      </w:pPr>
      <w:r>
        <w:t xml:space="preserve">2.2. Map Lifecycle (LCI Inventory Stages)</w:t>
      </w:r>
    </w:p>
    <w:p>
      <w:pPr>
        <w:pStyle w:val="FirstParagraph"/>
      </w:pPr>
      <w:r>
        <w:t xml:space="preserve">The lifecycle of jgnhstxqmn is mapped into the following stages:</w:t>
      </w:r>
    </w:p>
    <w:p>
      <w:pPr>
        <w:numPr>
          <w:ilvl w:val="0"/>
          <w:numId w:val="1002"/>
        </w:numPr>
        <w:pStyle w:val="Compact"/>
      </w:pPr>
      <w:r>
        <w:rPr>
          <w:bCs/>
          <w:b/>
        </w:rPr>
        <w:t xml:space="preserve">Raw Material Acquisition &amp; Pre-processing:</w:t>
      </w:r>
      <w:r>
        <w:t xml:space="preserve"> </w:t>
      </w:r>
      <w:r>
        <w:t xml:space="preserve">Extraction, processing, and manufacturing of all components listed in the Detailed Bill of Materials (BOM) muqykyzt.</w:t>
      </w:r>
    </w:p>
    <w:p>
      <w:pPr>
        <w:numPr>
          <w:ilvl w:val="0"/>
          <w:numId w:val="1002"/>
        </w:numPr>
        <w:pStyle w:val="Compact"/>
      </w:pPr>
      <w:r>
        <w:rPr>
          <w:bCs/>
          <w:b/>
        </w:rPr>
        <w:t xml:space="preserve">Manufacturing/Production:</w:t>
      </w:r>
      <w:r>
        <w:t xml:space="preserve"> </w:t>
      </w:r>
      <w:r>
        <w:t xml:space="preserve">Energy consumption and direct emissions at eqfkdmzzzq\'s production facility in China.</w:t>
      </w:r>
    </w:p>
    <w:p>
      <w:pPr>
        <w:numPr>
          <w:ilvl w:val="0"/>
          <w:numId w:val="1002"/>
        </w:numPr>
        <w:pStyle w:val="Compact"/>
      </w:pPr>
      <w:r>
        <w:rPr>
          <w:bCs/>
          <w:b/>
        </w:rPr>
        <w:t xml:space="preserve">Transportation:</w:t>
      </w:r>
    </w:p>
    <w:p>
      <w:pPr>
        <w:numPr>
          <w:ilvl w:val="1"/>
          <w:numId w:val="1003"/>
        </w:numPr>
        <w:pStyle w:val="Compact"/>
      </w:pPr>
      <w:r>
        <w:rPr>
          <w:bCs/>
          <w:b/>
        </w:rPr>
        <w:t xml:space="preserve">Inbound Logistics:</w:t>
      </w:r>
      <w:r>
        <w:t xml:space="preserve"> </w:t>
      </w:r>
      <w:r>
        <w:t xml:space="preserve">Transport of raw materials and components from suppliers (Europe Focused) to the factory in China.</w:t>
      </w:r>
    </w:p>
    <w:p>
      <w:pPr>
        <w:numPr>
          <w:ilvl w:val="1"/>
          <w:numId w:val="1003"/>
        </w:numPr>
        <w:pStyle w:val="Compact"/>
      </w:pPr>
      <w:r>
        <w:rPr>
          <w:bCs/>
          <w:b/>
        </w:rPr>
        <w:t xml:space="preserve">Outbound Logistics:</w:t>
      </w:r>
      <w:r>
        <w:t xml:space="preserve"> </w:t>
      </w:r>
      <w:r>
        <w:t xml:space="preserve">Transport of the finished product from the factory to the customer, including last-mile delivery.</w:t>
      </w:r>
    </w:p>
    <w:p>
      <w:pPr>
        <w:numPr>
          <w:ilvl w:val="0"/>
          <w:numId w:val="1002"/>
        </w:numPr>
        <w:pStyle w:val="Compact"/>
      </w:pPr>
      <w:r>
        <w:rPr>
          <w:bCs/>
          <w:b/>
        </w:rPr>
        <w:t xml:space="preserve">Use Phase:</w:t>
      </w:r>
      <w:r>
        <w:t xml:space="preserve"> </w:t>
      </w:r>
      <w:r>
        <w:t xml:space="preserve">Energy consumption during the product\'s operational lifespan.</w:t>
      </w:r>
    </w:p>
    <w:p>
      <w:pPr>
        <w:numPr>
          <w:ilvl w:val="0"/>
          <w:numId w:val="1002"/>
        </w:numPr>
        <w:pStyle w:val="Compact"/>
      </w:pPr>
      <w:r>
        <w:rPr>
          <w:bCs/>
          <w:b/>
        </w:rPr>
        <w:t xml:space="preserve">End-of-Life (EoL):</w:t>
      </w:r>
      <w:r>
        <w:t xml:space="preserve"> </w:t>
      </w:r>
      <w:r>
        <w:t xml:space="preserve">Disposal and recycling processes for the product components.</w:t>
      </w:r>
    </w:p>
    <w:bookmarkEnd w:id="25"/>
    <w:bookmarkStart w:id="31" w:name="collect-data"/>
    <w:p>
      <w:pPr>
        <w:pStyle w:val="Heading3"/>
      </w:pPr>
      <w:r>
        <w:t xml:space="preserve">2.3. Collect Data</w:t>
      </w:r>
    </w:p>
    <w:p>
      <w:pPr>
        <w:pStyle w:val="FirstParagraph"/>
      </w:pPr>
      <w:r>
        <w:t xml:space="preserve">Data collection involved utilizing specific primary data provided in the parameters and supplementing with secondary data from industry-standard emission factor databases (e.g., Ecoinvent, DEFRA) where primary data was not available or general estimates were required. All emission factors are explicitly stated.</w:t>
      </w:r>
    </w:p>
    <w:bookmarkStart w:id="26" w:name="X24363a5a01d6bee788bff8789fdf92bd517bb63"/>
    <w:p>
      <w:pPr>
        <w:pStyle w:val="Heading4"/>
      </w:pPr>
      <w:r>
        <w:t xml:space="preserve">Detailed Breakdown of Materials (from BOM: muqykyzt)</w:t>
      </w:r>
    </w:p>
    <w:p>
      <w:pPr>
        <w:pStyle w:val="FirstParagraph"/>
      </w:pPr>
      <w:r>
        <w:t xml:space="preserve">The detailed Bill of Materials (BOM) provides the foundational data for the material impact calculation. The BOM is parsed as follows:</w:t>
      </w:r>
    </w:p>
    <w:p>
      <w:pPr>
        <w:pStyle w:val="SourceCode"/>
      </w:pPr>
      <w:r>
        <w:rPr>
          <w:rStyle w:val="VerbatimChar"/>
        </w:rPr>
        <w:t xml:space="preserve">        ID, Description, Category, Process, Qty, Unit, Emission Factor (kgCO2e/Unit), Total Carbon (kgCO2e)</w:t>
      </w:r>
      <w:r>
        <w:br/>
      </w:r>
      <w:r>
        <w:rPr>
          <w:rStyle w:val="VerbatimChar"/>
        </w:rPr>
        <w:t xml:space="preserve">        1,Steel Plate,Metal,Forming,2.5,kg,2.0,5.0</w:t>
      </w:r>
      <w:r>
        <w:br/>
      </w:r>
      <w:r>
        <w:rPr>
          <w:rStyle w:val="VerbatimChar"/>
        </w:rPr>
        <w:t xml:space="preserve">        2,Plastic Casing,Polymer,Molding,0.8,kg,3.5,2.8</w:t>
      </w:r>
      <w:r>
        <w:br/>
      </w:r>
      <w:r>
        <w:rPr>
          <w:rStyle w:val="VerbatimChar"/>
        </w:rPr>
        <w:t xml:space="preserve">        3,Circuit Board,Electronics,Assembly,1,unit,15.0,15.0</w:t>
      </w:r>
      <w:r>
        <w:br/>
      </w:r>
      <w:r>
        <w:rPr>
          <w:rStyle w:val="VerbatimChar"/>
        </w:rPr>
        <w:t xml:space="preserve">        4,Packaging Cardboard,Paper,Cutting,0.3,kg,0.5,0.15</w:t>
      </w:r>
      <w:r>
        <w:br/>
      </w:r>
      <w:r>
        <w:rPr>
          <w:rStyle w:val="VerbatimChar"/>
        </w:rPr>
        <w:t xml:space="preserve">    </w:t>
      </w:r>
    </w:p>
    <w:p>
      <w:pPr>
        <w:pStyle w:val="FirstParagraph"/>
      </w:pPr>
      <w:r>
        <w:t xml:space="preserve">Based on the provided BOM data, the materials breakdown is as follows: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Plate</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0.5</w:t>
            </w:r>
          </w:p>
        </w:tc>
        <w:tc>
          <w:tcPr/>
          <w:p>
            <w:pPr>
              <w:pStyle w:val="Compact"/>
              <w:jc w:val="left"/>
            </w:pPr>
            <w:r>
              <w:t xml:space="preserve">0.15</w:t>
            </w:r>
          </w:p>
        </w:tc>
      </w:tr>
    </w:tbl>
    <w:bookmarkEnd w:id="26"/>
    <w:bookmarkStart w:id="27" w:name="energy-inputs"/>
    <w:p>
      <w:pPr>
        <w:pStyle w:val="Heading4"/>
      </w:pPr>
      <w:r>
        <w:t xml:space="preserve">Energy Inputs</w:t>
      </w:r>
    </w:p>
    <w:p>
      <w:pPr>
        <w:numPr>
          <w:ilvl w:val="0"/>
          <w:numId w:val="1004"/>
        </w:numPr>
        <w:pStyle w:val="Compact"/>
      </w:pPr>
      <w:r>
        <w:t xml:space="preserve">Renewable Energy Usage: luwoiqkqvw (75%)</w:t>
      </w:r>
    </w:p>
    <w:p>
      <w:pPr>
        <w:numPr>
          <w:ilvl w:val="0"/>
          <w:numId w:val="1004"/>
        </w:numPr>
        <w:pStyle w:val="Compact"/>
      </w:pPr>
      <w:r>
        <w:t xml:space="preserve">Energy Intensity (kWh/unit): odlssxpiss (0.5 kWh/unit)</w:t>
      </w:r>
    </w:p>
    <w:p>
      <w:pPr>
        <w:numPr>
          <w:ilvl w:val="0"/>
          <w:numId w:val="1004"/>
        </w:numPr>
        <w:pStyle w:val="Compact"/>
      </w:pPr>
      <w:r>
        <w:t xml:space="preserve">Electricity Emission Factor (China Grid Average, 2023): 0.6205 kg CO2e/kWh</w:t>
      </w:r>
    </w:p>
    <w:bookmarkEnd w:id="27"/>
    <w:bookmarkStart w:id="28" w:name="logistics-data"/>
    <w:p>
      <w:pPr>
        <w:pStyle w:val="Heading4"/>
      </w:pPr>
      <w:r>
        <w:t xml:space="preserve">Logistics Data</w:t>
      </w:r>
    </w:p>
    <w:p>
      <w:pPr>
        <w:numPr>
          <w:ilvl w:val="0"/>
          <w:numId w:val="1005"/>
        </w:numPr>
        <w:pStyle w:val="Compact"/>
      </w:pPr>
      <w:r>
        <w:t xml:space="preserve">Transport Mode (Inbound): Select Mode (Ocean Freight)</w:t>
      </w:r>
    </w:p>
    <w:p>
      <w:pPr>
        <w:numPr>
          <w:ilvl w:val="0"/>
          <w:numId w:val="1005"/>
        </w:numPr>
        <w:pStyle w:val="Compact"/>
      </w:pPr>
      <w:r>
        <w:t xml:space="preserve">Transport Distance (Inbound): jgesvlqjju (5000 km, for total BOM weight)</w:t>
      </w:r>
    </w:p>
    <w:p>
      <w:pPr>
        <w:numPr>
          <w:ilvl w:val="0"/>
          <w:numId w:val="1005"/>
        </w:numPr>
        <w:pStyle w:val="Compact"/>
      </w:pPr>
      <w:r>
        <w:t xml:space="preserve">Last-Mile Delivery Channel (Outbound): Delivery Type (Road Freight - Standard Parcel Delivery)</w:t>
      </w:r>
    </w:p>
    <w:p>
      <w:pPr>
        <w:numPr>
          <w:ilvl w:val="0"/>
          <w:numId w:val="1005"/>
        </w:numPr>
        <w:pStyle w:val="Compact"/>
      </w:pPr>
      <w:r>
        <w:t xml:space="preserve">Transport Distance (Outbound): 500 km (illustrative for final product unit)</w:t>
      </w:r>
    </w:p>
    <w:p>
      <w:pPr>
        <w:numPr>
          <w:ilvl w:val="0"/>
          <w:numId w:val="1005"/>
        </w:numPr>
        <w:pStyle w:val="Compact"/>
      </w:pPr>
      <w:r>
        <w:t xml:space="preserve">Ocean Freight Emission Factor: 0.016 kg CO2e/tonne-km</w:t>
      </w:r>
    </w:p>
    <w:p>
      <w:pPr>
        <w:numPr>
          <w:ilvl w:val="0"/>
          <w:numId w:val="1005"/>
        </w:numPr>
        <w:pStyle w:val="Compact"/>
      </w:pPr>
      <w:r>
        <w:t xml:space="preserve">Road Freight Emission Factor (Last-Mile): 0.100 kg CO2e/tonne-km (illustrative estimate for parcel delivery)</w:t>
      </w:r>
    </w:p>
    <w:bookmarkEnd w:id="28"/>
    <w:bookmarkStart w:id="29" w:name="use-phase-data"/>
    <w:p>
      <w:pPr>
        <w:pStyle w:val="Heading4"/>
      </w:pPr>
      <w:r>
        <w:t xml:space="preserve">Use Phase Data</w:t>
      </w:r>
    </w:p>
    <w:p>
      <w:pPr>
        <w:numPr>
          <w:ilvl w:val="0"/>
          <w:numId w:val="1006"/>
        </w:numPr>
        <w:pStyle w:val="Compact"/>
      </w:pPr>
      <w:r>
        <w:t xml:space="preserve">Product Lifespan: qmgpzlwfej (5 years)</w:t>
      </w:r>
    </w:p>
    <w:p>
      <w:pPr>
        <w:numPr>
          <w:ilvl w:val="0"/>
          <w:numId w:val="1006"/>
        </w:numPr>
        <w:pStyle w:val="Compact"/>
      </w:pPr>
      <w:r>
        <w:t xml:space="preserve">Energy Consumption in Use: eqjrdvxehy (10 kWh/year)</w:t>
      </w:r>
    </w:p>
    <w:bookmarkEnd w:id="29"/>
    <w:bookmarkStart w:id="30" w:name="end-of-life-eol-scenarios"/>
    <w:p>
      <w:pPr>
        <w:pStyle w:val="Heading4"/>
      </w:pPr>
      <w:r>
        <w:t xml:space="preserve">End-of-Life (EoL) Scenarios</w:t>
      </w:r>
    </w:p>
    <w:p>
      <w:pPr>
        <w:numPr>
          <w:ilvl w:val="0"/>
          <w:numId w:val="1007"/>
        </w:numPr>
        <w:pStyle w:val="Compact"/>
      </w:pPr>
      <w:r>
        <w:t xml:space="preserve">Recyclability Percentage: wlkhmkkvdw (80%)</w:t>
      </w:r>
    </w:p>
    <w:p>
      <w:pPr>
        <w:numPr>
          <w:ilvl w:val="0"/>
          <w:numId w:val="1007"/>
        </w:numPr>
        <w:pStyle w:val="Compact"/>
      </w:pPr>
      <w:r>
        <w:t xml:space="preserve">Circular/Take-back Programs: zlvzyukwdy (Product return program with material recovery)</w:t>
      </w:r>
    </w:p>
    <w:p>
      <w:pPr>
        <w:numPr>
          <w:ilvl w:val="0"/>
          <w:numId w:val="1007"/>
        </w:numPr>
        <w:pStyle w:val="Compact"/>
      </w:pPr>
      <w:r>
        <w:t xml:space="preserve">EoL Emission Factor (Cardboard Landfill): 0.5 kg CO2e/kg</w:t>
      </w:r>
    </w:p>
    <w:p>
      <w:pPr>
        <w:numPr>
          <w:ilvl w:val="0"/>
          <w:numId w:val="1007"/>
        </w:numPr>
        <w:pStyle w:val="Compact"/>
      </w:pPr>
      <w:r>
        <w:t xml:space="preserve">EoL Emission Factor (Cardboard Recycling Benefit): -0.7 kg CO2e/kg (illustrative, reflecting avoided virgin production)</w:t>
      </w:r>
    </w:p>
    <w:p>
      <w:pPr>
        <w:numPr>
          <w:ilvl w:val="0"/>
          <w:numId w:val="1007"/>
        </w:numPr>
        <w:pStyle w:val="Compact"/>
      </w:pPr>
      <w:r>
        <w:t xml:space="preserve">EoL Emission Factor (Plastics/Metals Landfill): 1.5 kg CO2e/kg (illustrative)</w:t>
      </w:r>
    </w:p>
    <w:p>
      <w:pPr>
        <w:numPr>
          <w:ilvl w:val="0"/>
          <w:numId w:val="1007"/>
        </w:numPr>
        <w:pStyle w:val="Compact"/>
      </w:pPr>
      <w:r>
        <w:t xml:space="preserve">EoL Emission Factor (Plastics/Metals Recycling Benefit): -1.0 kg CO2e/kg (illustrative)</w:t>
      </w:r>
    </w:p>
    <w:bookmarkEnd w:id="30"/>
    <w:bookmarkEnd w:id="31"/>
    <w:bookmarkStart w:id="32" w:name="Xb404f6bea4a0013006ec7a9103609d9ea6643c1"/>
    <w:p>
      <w:pPr>
        <w:pStyle w:val="Heading3"/>
      </w:pPr>
      <w:r>
        <w:t xml:space="preserve">2.4. Calculate Emissions (Activity * Emission Factor = CO2e)</w:t>
      </w:r>
    </w:p>
    <w:p>
      <w:pPr>
        <w:pStyle w:val="FirstParagraph"/>
      </w:pPr>
      <w:r>
        <w:t xml:space="preserve">Emissions are calculated for each stage of the product lifecycle by multiplying activity data (e.g., kg of material, kWh of energy, tonne-km of transport) by their respective emission factors. All calculations are in CO2e.</w:t>
      </w:r>
    </w:p>
    <w:bookmarkEnd w:id="32"/>
    <w:bookmarkStart w:id="33" w:name="review-report"/>
    <w:p>
      <w:pPr>
        <w:pStyle w:val="Heading3"/>
      </w:pPr>
      <w:r>
        <w:t xml:space="preserve">2.5. Review &amp; Report</w:t>
      </w:r>
    </w:p>
    <w:p>
      <w:pPr>
        <w:pStyle w:val="FirstParagraph"/>
      </w:pPr>
      <w:r>
        <w:t xml:space="preserve">Emission hotspots are identified, and the reliability of the data and calculations is discussed. The report also addresses compliance with GHG Protocol requirements, including the 2026 LSR Standard and Scope 3 coverage.</w:t>
      </w:r>
    </w:p>
    <w:p>
      <w:r>
        <w:pict>
          <v:rect style="width:0;height:1.5pt" o:hralign="center" o:hrstd="t" o:hr="t"/>
        </w:pict>
      </w:r>
    </w:p>
    <w:bookmarkEnd w:id="33"/>
    <w:bookmarkEnd w:id="34"/>
    <w:bookmarkStart w:id="44" w:name="carbon-footprint-calculation"/>
    <w:p>
      <w:pPr>
        <w:pStyle w:val="Heading2"/>
      </w:pPr>
      <w:r>
        <w:t xml:space="preserve">3. Carbon Footprint Calculation</w:t>
      </w:r>
    </w:p>
    <w:p>
      <w:pPr>
        <w:pStyle w:val="FirstParagraph"/>
      </w:pPr>
      <w:r>
        <w:t xml:space="preserve">This section details the calculation of GHG emissions across the lifecycle of jgnhstxqmn.</w:t>
      </w:r>
    </w:p>
    <w:bookmarkStart w:id="37" w:name="Xa6ddf2a59b2844d75776b5e9145b6263b401c71"/>
    <w:p>
      <w:pPr>
        <w:pStyle w:val="Heading3"/>
      </w:pPr>
      <w:r>
        <w:t xml:space="preserve">3.1. Production Phase Emissions (Cradle-to-gate)</w:t>
      </w:r>
    </w:p>
    <w:bookmarkStart w:id="35" w:name="X45bb9cd134053e35af1dfcce7e2d044d3d17865"/>
    <w:p>
      <w:pPr>
        <w:pStyle w:val="Heading4"/>
      </w:pPr>
      <w:r>
        <w:t xml:space="preserve">3.1.1. Material Acquisition &amp; Pre-processing (Scope 3, Category 1 - Purchased Goods and Services)</w:t>
      </w:r>
    </w:p>
    <w:p>
      <w:pPr>
        <w:pStyle w:val="FirstParagraph"/>
      </w:pPr>
      <w:r>
        <w:t xml:space="preserve">Based on the Detailed Bill of Materials (muqykyzt), the total carbon impact from raw materials is the sum of the "Total Carbon" column.</w:t>
      </w:r>
    </w:p>
    <w:p>
      <w:pPr>
        <w:pStyle w:val="BodyText"/>
      </w:pPr>
      <w:r>
        <w:t xml:space="preserve">Total Material Emissions = 5.0 kgCO2e (Steel Plate) + 2.8 kgCO2e (Plastic Casing) + 15.0 kgCO2e (Circuit Board) + 0.15 kgCO2e (Packaging Cardboard)</w:t>
      </w:r>
    </w:p>
    <w:p>
      <w:pPr>
        <w:pStyle w:val="BodyText"/>
      </w:pPr>
      <w:r>
        <w:rPr>
          <w:bCs/>
          <w:b/>
        </w:rPr>
        <w:t xml:space="preserve">Total Material Emissions: 22.95 kgCO2e</w:t>
      </w:r>
    </w:p>
    <w:bookmarkEnd w:id="35"/>
    <w:bookmarkStart w:id="36" w:name="X2c4f6252f3751e7771abd993b9b65926ad25f80"/>
    <w:p>
      <w:pPr>
        <w:pStyle w:val="Heading4"/>
      </w:pPr>
      <w:r>
        <w:t xml:space="preserve">3.1.2. Manufacturing Energy Consumption (Scope 2 - Purchased Electricity)</w:t>
      </w:r>
    </w:p>
    <w:p>
      <w:pPr>
        <w:pStyle w:val="FirstParagraph"/>
      </w:pPr>
      <w:r>
        <w:t xml:space="preserve">The manufacturing process consumes energy at the eqfkdmzzzq facility in China. The energy mix includes renewable sources.</w:t>
      </w:r>
    </w:p>
    <w:p>
      <w:pPr>
        <w:numPr>
          <w:ilvl w:val="0"/>
          <w:numId w:val="1008"/>
        </w:numPr>
        <w:pStyle w:val="Compact"/>
      </w:pPr>
      <w:r>
        <w:t xml:space="preserve">Energy Intensity: 0.5 kWh/unit</w:t>
      </w:r>
    </w:p>
    <w:p>
      <w:pPr>
        <w:numPr>
          <w:ilvl w:val="0"/>
          <w:numId w:val="1008"/>
        </w:numPr>
        <w:pStyle w:val="Compact"/>
      </w:pPr>
      <w:r>
        <w:t xml:space="preserve">Renewable Energy Usage: 75%</w:t>
      </w:r>
    </w:p>
    <w:p>
      <w:pPr>
        <w:numPr>
          <w:ilvl w:val="0"/>
          <w:numId w:val="1008"/>
        </w:numPr>
        <w:pStyle w:val="Compact"/>
      </w:pPr>
      <w:r>
        <w:t xml:space="preserve">Non-renewable Energy Usage: 1 - 0.75 = 0.25 (25%)</w:t>
      </w:r>
    </w:p>
    <w:p>
      <w:pPr>
        <w:numPr>
          <w:ilvl w:val="0"/>
          <w:numId w:val="1008"/>
        </w:numPr>
        <w:pStyle w:val="Compact"/>
      </w:pPr>
      <w:r>
        <w:t xml:space="preserve">China Electricity Emission Factor: 0.6205 kg CO2e/kWh</w:t>
      </w:r>
    </w:p>
    <w:p>
      <w:pPr>
        <w:pStyle w:val="FirstParagraph"/>
      </w:pPr>
      <w:r>
        <w:t xml:space="preserve">Manufacturing Energy Emissions = Energy Intensity (kWh/unit) * Non-renewable Energy Usage (%) * China Electricity EF (kgCO2e/kWh)</w:t>
      </w:r>
    </w:p>
    <w:p>
      <w:pPr>
        <w:pStyle w:val="BodyText"/>
      </w:pPr>
      <w:r>
        <w:t xml:space="preserve">Manufacturing Energy Emissions = 0.5 kWh/unit * 0.25 * 0.6205 kgCO2e/kWh</w:t>
      </w:r>
    </w:p>
    <w:p>
      <w:pPr>
        <w:pStyle w:val="BodyText"/>
      </w:pPr>
      <w:r>
        <w:rPr>
          <w:bCs/>
          <w:b/>
        </w:rPr>
        <w:t xml:space="preserve">Manufacturing Energy Emissions: 0.0775625 kgCO2e</w:t>
      </w:r>
    </w:p>
    <w:p>
      <w:pPr>
        <w:pStyle w:val="BodyText"/>
      </w:pPr>
      <w:r>
        <w:rPr>
          <w:bCs/>
          <w:b/>
        </w:rPr>
        <w:t xml:space="preserve">Total Production Phase (Cradle-to-gate) Emissions: 22.95 kgCO2e + 0.0775625 kgCO2e = 23.0275625 kgCO2e</w:t>
      </w:r>
    </w:p>
    <w:bookmarkEnd w:id="36"/>
    <w:bookmarkEnd w:id="37"/>
    <w:bookmarkStart w:id="40" w:name="transport-phase-emissions-scope-3"/>
    <w:p>
      <w:pPr>
        <w:pStyle w:val="Heading3"/>
      </w:pPr>
      <w:r>
        <w:t xml:space="preserve">3.2. Transport Phase Emissions (Scope 3)</w:t>
      </w:r>
    </w:p>
    <w:bookmarkStart w:id="38" w:name="X4c07a096a99b048fd71fd1db58293efedcfc0be"/>
    <w:p>
      <w:pPr>
        <w:pStyle w:val="Heading4"/>
      </w:pPr>
      <w:r>
        <w:t xml:space="preserve">3.2.1. Inbound Logistics (Scope 3, Category 4 - Upstream Transportation and Distribution)</w:t>
      </w:r>
    </w:p>
    <w:p>
      <w:pPr>
        <w:pStyle w:val="FirstParagraph"/>
      </w:pPr>
      <w:r>
        <w:t xml:space="preserve">Transportation of raw materials to the factory in China from Europe-focused suppliers.</w:t>
      </w:r>
    </w:p>
    <w:p>
      <w:pPr>
        <w:numPr>
          <w:ilvl w:val="0"/>
          <w:numId w:val="1009"/>
        </w:numPr>
        <w:pStyle w:val="Compact"/>
      </w:pPr>
      <w:r>
        <w:t xml:space="preserve">Total weight of BOM materials: 2.5 kg + 0.8 kg + (1 unit * assume 0.05 kg/unit for circuit board) + 0.3 kg = 3.65 kg (assuming 1 unit circuit board is 0.05kg for transport calculation purposes if not otherwise specified in BOM). Let\'s use the actual weight from BOM (2.5 + 0.8 + 0.05 (assumed) + 0.3 = 3.65kg, if \'unit\' for circuit board means 1 piece of circuit board, and its mass isn\'t given). Given the BOM only lists \'unit\' for quantity, and no specific mass, I will use a placeholder mass for the circuit board for transport calculation, say 0.05 kg for 1 unit.</w:t>
      </w:r>
    </w:p>
    <w:p>
      <w:pPr>
        <w:numPr>
          <w:ilvl w:val="0"/>
          <w:numId w:val="1009"/>
        </w:numPr>
        <w:pStyle w:val="Compact"/>
      </w:pPr>
      <w:r>
        <w:t xml:space="preserve">Total weight of BOM materials for transport: (2.5 kg + 0.8 kg + 0.05 kg (assumed mass for 1 unit) + 0.3 kg) = 3.65 kg = 0.00365 tonnes.</w:t>
      </w:r>
    </w:p>
    <w:p>
      <w:pPr>
        <w:numPr>
          <w:ilvl w:val="0"/>
          <w:numId w:val="1009"/>
        </w:numPr>
        <w:pStyle w:val="Compact"/>
      </w:pPr>
      <w:r>
        <w:t xml:space="preserve">Transport Mode: Ocean Freight</w:t>
      </w:r>
    </w:p>
    <w:p>
      <w:pPr>
        <w:numPr>
          <w:ilvl w:val="0"/>
          <w:numId w:val="1009"/>
        </w:numPr>
        <w:pStyle w:val="Compact"/>
      </w:pPr>
      <w:r>
        <w:t xml:space="preserve">Transport Distance: 5000 km</w:t>
      </w:r>
    </w:p>
    <w:p>
      <w:pPr>
        <w:numPr>
          <w:ilvl w:val="0"/>
          <w:numId w:val="1009"/>
        </w:numPr>
        <w:pStyle w:val="Compact"/>
      </w:pPr>
      <w:r>
        <w:t xml:space="preserve">Ocean Freight Emission Factor: 0.016 kg CO2e/tonne-km</w:t>
      </w:r>
    </w:p>
    <w:p>
      <w:pPr>
        <w:pStyle w:val="FirstParagraph"/>
      </w:pPr>
      <w:r>
        <w:t xml:space="preserve">Inbound Transport Emissions = Total BOM Weight (tonnes) * Transport Distance (km) * Ocean Freight EF (kgCO2e/tonne-km)</w:t>
      </w:r>
    </w:p>
    <w:p>
      <w:pPr>
        <w:pStyle w:val="BodyText"/>
      </w:pPr>
      <w:r>
        <w:t xml:space="preserve">Inbound Transport Emissions = 0.00365 tonnes * 5000 km * 0.016 kgCO2e/tonne-km</w:t>
      </w:r>
    </w:p>
    <w:p>
      <w:pPr>
        <w:pStyle w:val="BodyText"/>
      </w:pPr>
      <w:r>
        <w:rPr>
          <w:bCs/>
          <w:b/>
        </w:rPr>
        <w:t xml:space="preserve">Inbound Transport Emissions: 0.292 kgCO2e</w:t>
      </w:r>
    </w:p>
    <w:bookmarkEnd w:id="38"/>
    <w:bookmarkStart w:id="39" w:name="X8458cb04b6dfb3c96d1e09cf8a6898107ba0885"/>
    <w:p>
      <w:pPr>
        <w:pStyle w:val="Heading4"/>
      </w:pPr>
      <w:r>
        <w:t xml:space="preserve">3.2.2. Outbound Logistics (Scope 3, Category 9 - Downstream Transportation and Distribution)</w:t>
      </w:r>
    </w:p>
    <w:p>
      <w:pPr>
        <w:pStyle w:val="FirstParagraph"/>
      </w:pPr>
      <w:r>
        <w:t xml:space="preserve">Transportation of the finished product (jgnhstxqmn) to the customer, including last-mile delivery.</w:t>
      </w:r>
    </w:p>
    <w:p>
      <w:pPr>
        <w:numPr>
          <w:ilvl w:val="0"/>
          <w:numId w:val="1010"/>
        </w:numPr>
        <w:pStyle w:val="Compact"/>
      </w:pPr>
      <w:r>
        <w:t xml:space="preserve">Weight of finished product (approximate, sum of BOM items): 3.65 kg = 0.00365 tonnes (assuming packaging is part of the final delivered unit\'s weight).</w:t>
      </w:r>
    </w:p>
    <w:p>
      <w:pPr>
        <w:numPr>
          <w:ilvl w:val="0"/>
          <w:numId w:val="1010"/>
        </w:numPr>
        <w:pStyle w:val="Compact"/>
      </w:pPr>
      <w:r>
        <w:t xml:space="preserve">Transport Mode: Road Freight (Standard Parcel Delivery)</w:t>
      </w:r>
    </w:p>
    <w:p>
      <w:pPr>
        <w:numPr>
          <w:ilvl w:val="0"/>
          <w:numId w:val="1010"/>
        </w:numPr>
        <w:pStyle w:val="Compact"/>
      </w:pPr>
      <w:r>
        <w:t xml:space="preserve">Transport Distance: 500 km (illustrative)</w:t>
      </w:r>
    </w:p>
    <w:p>
      <w:pPr>
        <w:numPr>
          <w:ilvl w:val="0"/>
          <w:numId w:val="1010"/>
        </w:numPr>
        <w:pStyle w:val="Compact"/>
      </w:pPr>
      <w:r>
        <w:t xml:space="preserve">Road Freight Emission Factor (Last-Mile): 0.100 kg CO2e/tonne-km (illustrative)</w:t>
      </w:r>
    </w:p>
    <w:p>
      <w:pPr>
        <w:pStyle w:val="FirstParagraph"/>
      </w:pPr>
      <w:r>
        <w:t xml:space="preserve">Outbound Transport Emissions = Product Weight (tonnes) * Transport Distance (km) * Road Freight EF (kgCO2e/tonne-km)</w:t>
      </w:r>
    </w:p>
    <w:p>
      <w:pPr>
        <w:pStyle w:val="BodyText"/>
      </w:pPr>
      <w:r>
        <w:t xml:space="preserve">Outbound Transport Emissions = 0.00365 tonnes * 500 km * 0.100 kgCO2e/tonne-km</w:t>
      </w:r>
    </w:p>
    <w:p>
      <w:pPr>
        <w:pStyle w:val="BodyText"/>
      </w:pPr>
      <w:r>
        <w:rPr>
          <w:bCs/>
          <w:b/>
        </w:rPr>
        <w:t xml:space="preserve">Outbound Transport Emissions: 0.1825 kgCO2e</w:t>
      </w:r>
    </w:p>
    <w:bookmarkEnd w:id="39"/>
    <w:bookmarkEnd w:id="40"/>
    <w:bookmarkStart w:id="41" w:name="X6421c938dd7e5cb731724b1ba3c67e4f5efecf9"/>
    <w:p>
      <w:pPr>
        <w:pStyle w:val="Heading3"/>
      </w:pPr>
      <w:r>
        <w:t xml:space="preserve">3.3. Use Phase Emissions (Scope 3, Category 11 - Use of Sold Products)</w:t>
      </w:r>
    </w:p>
    <w:p>
      <w:pPr>
        <w:pStyle w:val="FirstParagraph"/>
      </w:pPr>
      <w:r>
        <w:t xml:space="preserve">Energy consumption during the product\'s lifespan.</w:t>
      </w:r>
    </w:p>
    <w:p>
      <w:pPr>
        <w:numPr>
          <w:ilvl w:val="0"/>
          <w:numId w:val="1011"/>
        </w:numPr>
        <w:pStyle w:val="Compact"/>
      </w:pPr>
      <w:r>
        <w:t xml:space="preserve">Product Lifespan: 5 years</w:t>
      </w:r>
    </w:p>
    <w:p>
      <w:pPr>
        <w:numPr>
          <w:ilvl w:val="0"/>
          <w:numId w:val="1011"/>
        </w:numPr>
        <w:pStyle w:val="Compact"/>
      </w:pPr>
      <w:r>
        <w:t xml:space="preserve">Energy Consumption in Use: 10 kWh/year</w:t>
      </w:r>
    </w:p>
    <w:p>
      <w:pPr>
        <w:numPr>
          <w:ilvl w:val="0"/>
          <w:numId w:val="1011"/>
        </w:numPr>
        <w:pStyle w:val="Compact"/>
      </w:pPr>
      <w:r>
        <w:t xml:space="preserve">China Electricity Emission Factor: 0.6205 kg CO2e/kWh</w:t>
      </w:r>
    </w:p>
    <w:p>
      <w:pPr>
        <w:pStyle w:val="FirstParagraph"/>
      </w:pPr>
      <w:r>
        <w:t xml:space="preserve">Use Phase Emissions = Energy Consumption (kWh/year) * Product Lifespan (years) * China Electricity EF (kgCO2e/kWh)</w:t>
      </w:r>
    </w:p>
    <w:p>
      <w:pPr>
        <w:pStyle w:val="BodyText"/>
      </w:pPr>
      <w:r>
        <w:t xml:space="preserve">Use Phase Emissions = 10 kWh/year * 5 years * 0.6205 kgCO2e/kWh</w:t>
      </w:r>
    </w:p>
    <w:p>
      <w:pPr>
        <w:pStyle w:val="BodyText"/>
      </w:pPr>
      <w:r>
        <w:rPr>
          <w:bCs/>
          <w:b/>
        </w:rPr>
        <w:t xml:space="preserve">Use Phase Emissions: 31.025 kgCO2e</w:t>
      </w:r>
    </w:p>
    <w:bookmarkEnd w:id="41"/>
    <w:bookmarkStart w:id="42" w:name="Xf776e703336832e62a0bfee8169560f1c4d5612"/>
    <w:p>
      <w:pPr>
        <w:pStyle w:val="Heading3"/>
      </w:pPr>
      <w:r>
        <w:t xml:space="preserve">3.4. End-of-Life (EoL) Phase Emissions (Scope 3, Category 12 - End-of-Life Treatment of Sold Products)</w:t>
      </w:r>
    </w:p>
    <w:p>
      <w:pPr>
        <w:pStyle w:val="FirstParagraph"/>
      </w:pPr>
      <w:r>
        <w:t xml:space="preserve">Disposal and recycling processes for product components. Total weight of product at EoL is assumed to be the sum of BOM materials: 3.65 kg.</w:t>
      </w:r>
    </w:p>
    <w:p>
      <w:pPr>
        <w:numPr>
          <w:ilvl w:val="0"/>
          <w:numId w:val="1012"/>
        </w:numPr>
        <w:pStyle w:val="Compact"/>
      </w:pPr>
      <w:r>
        <w:t xml:space="preserve">Recyclability Percentage: 80%</w:t>
      </w:r>
    </w:p>
    <w:p>
      <w:pPr>
        <w:numPr>
          <w:ilvl w:val="0"/>
          <w:numId w:val="1012"/>
        </w:numPr>
        <w:pStyle w:val="Compact"/>
      </w:pPr>
      <w:r>
        <w:t xml:space="preserve">Landfill Percentage: 20%</w:t>
      </w:r>
    </w:p>
    <w:p>
      <w:pPr>
        <w:pStyle w:val="FirstParagraph"/>
      </w:pPr>
      <w:r>
        <w:t xml:space="preserve">Assuming components are separable into general categories (Metal, Plastic, Paper):</w:t>
      </w:r>
    </w:p>
    <w:p>
      <w:pPr>
        <w:numPr>
          <w:ilvl w:val="0"/>
          <w:numId w:val="1013"/>
        </w:numPr>
        <w:pStyle w:val="Compact"/>
      </w:pPr>
      <w:r>
        <w:t xml:space="preserve">Steel Plate (Metal): 2.5 kg</w:t>
      </w:r>
    </w:p>
    <w:p>
      <w:pPr>
        <w:numPr>
          <w:ilvl w:val="0"/>
          <w:numId w:val="1013"/>
        </w:numPr>
        <w:pStyle w:val="Compact"/>
      </w:pPr>
      <w:r>
        <w:t xml:space="preserve">Plastic Casing (Polymer): 0.8 kg</w:t>
      </w:r>
    </w:p>
    <w:p>
      <w:pPr>
        <w:numPr>
          <w:ilvl w:val="0"/>
          <w:numId w:val="1013"/>
        </w:numPr>
        <w:pStyle w:val="Compact"/>
      </w:pPr>
      <w:r>
        <w:t xml:space="preserve">Circuit Board (Electronics): 0.05 kg (assumed mass)</w:t>
      </w:r>
    </w:p>
    <w:p>
      <w:pPr>
        <w:numPr>
          <w:ilvl w:val="0"/>
          <w:numId w:val="1013"/>
        </w:numPr>
        <w:pStyle w:val="Compact"/>
      </w:pPr>
      <w:r>
        <w:t xml:space="preserve">Packaging Cardboard (Paper): 0.3 kg</w:t>
      </w:r>
    </w:p>
    <w:p>
      <w:pPr>
        <w:pStyle w:val="FirstParagraph"/>
      </w:pPr>
      <w:r>
        <w:rPr>
          <w:bCs/>
          <w:b/>
        </w:rPr>
        <w:t xml:space="preserve">Cardboard EoL:</w:t>
      </w:r>
    </w:p>
    <w:p>
      <w:pPr>
        <w:numPr>
          <w:ilvl w:val="0"/>
          <w:numId w:val="1014"/>
        </w:numPr>
        <w:pStyle w:val="Compact"/>
      </w:pPr>
      <w:r>
        <w:t xml:space="preserve">Recycled Cardboard: 0.3 kg * 0.80 = 0.24 kg</w:t>
      </w:r>
    </w:p>
    <w:p>
      <w:pPr>
        <w:numPr>
          <w:ilvl w:val="0"/>
          <w:numId w:val="1014"/>
        </w:numPr>
        <w:pStyle w:val="Compact"/>
      </w:pPr>
      <w:r>
        <w:t xml:space="preserve">Landfilled Cardboard: 0.3 kg * 0.20 = 0.06 kg</w:t>
      </w:r>
    </w:p>
    <w:p>
      <w:pPr>
        <w:numPr>
          <w:ilvl w:val="0"/>
          <w:numId w:val="1014"/>
        </w:numPr>
        <w:pStyle w:val="Compact"/>
      </w:pPr>
      <w:r>
        <w:t xml:space="preserve">Emissions from Recycled Cardboard: 0.24 kg * (-0.7 kgCO2e/kg) = -0.168 kgCO2e (credit for avoided virgin production)</w:t>
      </w:r>
    </w:p>
    <w:p>
      <w:pPr>
        <w:numPr>
          <w:ilvl w:val="0"/>
          <w:numId w:val="1014"/>
        </w:numPr>
        <w:pStyle w:val="Compact"/>
      </w:pPr>
      <w:r>
        <w:t xml:space="preserve">Emissions from Landfilled Cardboard: 0.06 kg * (0.5 kgCO2e/kg) = 0.03 kgCO2e</w:t>
      </w:r>
    </w:p>
    <w:p>
      <w:pPr>
        <w:pStyle w:val="FirstParagraph"/>
      </w:pPr>
      <w:r>
        <w:rPr>
          <w:bCs/>
          <w:b/>
        </w:rPr>
        <w:t xml:space="preserve">Plastics/Metals EoL (illustrative, for Steel Plate, Plastic Casing, Circuit Board):</w:t>
      </w:r>
    </w:p>
    <w:p>
      <w:pPr>
        <w:numPr>
          <w:ilvl w:val="0"/>
          <w:numId w:val="1015"/>
        </w:numPr>
        <w:pStyle w:val="Compact"/>
      </w:pPr>
      <w:r>
        <w:t xml:space="preserve">Total Plastics/Metals: 2.5 kg + 0.8 kg + 0.05 kg = 3.35 kg</w:t>
      </w:r>
    </w:p>
    <w:p>
      <w:pPr>
        <w:numPr>
          <w:ilvl w:val="0"/>
          <w:numId w:val="1015"/>
        </w:numPr>
        <w:pStyle w:val="Compact"/>
      </w:pPr>
      <w:r>
        <w:t xml:space="preserve">Recycled Plastics/Metals: 3.35 kg * 0.80 = 2.68 kg</w:t>
      </w:r>
    </w:p>
    <w:p>
      <w:pPr>
        <w:numPr>
          <w:ilvl w:val="0"/>
          <w:numId w:val="1015"/>
        </w:numPr>
        <w:pStyle w:val="Compact"/>
      </w:pPr>
      <w:r>
        <w:t xml:space="preserve">Landfilled Plastics/Metals: 3.35 kg * 0.20 = 0.67 kg</w:t>
      </w:r>
    </w:p>
    <w:p>
      <w:pPr>
        <w:numPr>
          <w:ilvl w:val="0"/>
          <w:numId w:val="1015"/>
        </w:numPr>
        <w:pStyle w:val="Compact"/>
      </w:pPr>
      <w:r>
        <w:t xml:space="preserve">Emissions from Recycled Plastics/Metals: 2.68 kg * (-1.0 kgCO2e/kg) = -2.68 kgCO2e (illustrative credit)</w:t>
      </w:r>
    </w:p>
    <w:p>
      <w:pPr>
        <w:numPr>
          <w:ilvl w:val="0"/>
          <w:numId w:val="1015"/>
        </w:numPr>
        <w:pStyle w:val="Compact"/>
      </w:pPr>
      <w:r>
        <w:t xml:space="preserve">Emissions from Landfilled Plastics/Metals: 0.67 kg * (1.5 kgCO2e/kg) = 1.005 kgCO2e (illustrative)</w:t>
      </w:r>
    </w:p>
    <w:p>
      <w:pPr>
        <w:pStyle w:val="FirstParagraph"/>
      </w:pPr>
      <w:r>
        <w:rPr>
          <w:bCs/>
          <w:b/>
        </w:rPr>
        <w:t xml:space="preserve">Total EoL Emissions: (-0.168) + 0.03 + (-2.68) + 1.005 = -1.813 kgCO2e</w:t>
      </w:r>
      <w:r>
        <w:t xml:space="preserve"> </w:t>
      </w:r>
      <w:r>
        <w:t xml:space="preserve">(net credit due to high recyclability)</w:t>
      </w:r>
    </w:p>
    <w:bookmarkEnd w:id="42"/>
    <w:bookmarkStart w:id="43" w:name="total-product-carbon-footprint-pcf"/>
    <w:p>
      <w:pPr>
        <w:pStyle w:val="Heading3"/>
      </w:pPr>
      <w:r>
        <w:t xml:space="preserve">3.5. Total Product Carbon Footprint (PCF)</w:t>
      </w:r>
    </w:p>
    <w:p>
      <w:pPr>
        <w:pStyle w:val="FirstParagraph"/>
      </w:pPr>
      <w:r>
        <w:t xml:space="preserve">Summing emissions from all lifecycle stages:</w:t>
      </w:r>
    </w:p>
    <w:p>
      <w:pPr>
        <w:numPr>
          <w:ilvl w:val="0"/>
          <w:numId w:val="1016"/>
        </w:numPr>
        <w:pStyle w:val="Compact"/>
      </w:pPr>
      <w:r>
        <w:t xml:space="preserve">Production Phase (Materials + Manufacturing Energy): 23.0275625 kgCO2e</w:t>
      </w:r>
    </w:p>
    <w:p>
      <w:pPr>
        <w:numPr>
          <w:ilvl w:val="0"/>
          <w:numId w:val="1016"/>
        </w:numPr>
        <w:pStyle w:val="Compact"/>
      </w:pPr>
      <w:r>
        <w:t xml:space="preserve">Inbound Transport: 0.292 kgCO2e</w:t>
      </w:r>
    </w:p>
    <w:p>
      <w:pPr>
        <w:numPr>
          <w:ilvl w:val="0"/>
          <w:numId w:val="1016"/>
        </w:numPr>
        <w:pStyle w:val="Compact"/>
      </w:pPr>
      <w:r>
        <w:t xml:space="preserve">Outbound Transport: 0.1825 kgCO2e</w:t>
      </w:r>
    </w:p>
    <w:p>
      <w:pPr>
        <w:numPr>
          <w:ilvl w:val="0"/>
          <w:numId w:val="1016"/>
        </w:numPr>
        <w:pStyle w:val="Compact"/>
      </w:pPr>
      <w:r>
        <w:t xml:space="preserve">Use Phase: 31.025 kgCO2e</w:t>
      </w:r>
    </w:p>
    <w:p>
      <w:pPr>
        <w:numPr>
          <w:ilvl w:val="0"/>
          <w:numId w:val="1016"/>
        </w:numPr>
        <w:pStyle w:val="Compact"/>
      </w:pPr>
      <w:r>
        <w:t xml:space="preserve">End-of-Life Phase: -1.813 kgCO2e</w:t>
      </w:r>
    </w:p>
    <w:p>
      <w:pPr>
        <w:pStyle w:val="FirstParagraph"/>
      </w:pPr>
      <w:r>
        <w:rPr>
          <w:bCs/>
          <w:b/>
        </w:rPr>
        <w:t xml:space="preserve">Total PCF = 23.0275625 + 0.292 + 0.1825 + 31.025 - 1.813 = 52.7140625 kgCO2e</w:t>
      </w:r>
    </w:p>
    <w:p>
      <w:pPr>
        <w:pStyle w:val="BodyText"/>
      </w:pPr>
      <w:r>
        <w:rPr>
          <w:bCs/>
          <w:b/>
        </w:rPr>
        <w:t xml:space="preserve">Total Product Carbon Footprint for one unit of jgnhstxqmn: 52.71 kgCO2e</w:t>
      </w:r>
    </w:p>
    <w:p>
      <w:r>
        <w:pict>
          <v:rect style="width:0;height:1.5pt" o:hralign="center" o:hrstd="t" o:hr="t"/>
        </w:pict>
      </w:r>
    </w:p>
    <w:bookmarkEnd w:id="43"/>
    <w:bookmarkEnd w:id="44"/>
    <w:bookmarkStart w:id="48" w:name="ghg-protocol-compliance"/>
    <w:p>
      <w:pPr>
        <w:pStyle w:val="Heading2"/>
      </w:pPr>
      <w:r>
        <w:t xml:space="preserve">4. GHG Protocol Compliance</w:t>
      </w:r>
    </w:p>
    <w:p>
      <w:pPr>
        <w:pStyle w:val="FirstParagraph"/>
      </w:pPr>
      <w:r>
        <w:t xml:space="preserve">This analysis categorizes emissions according to the GHG Protocol\'s scopes and addresses the latest updates.</w:t>
      </w:r>
    </w:p>
    <w:bookmarkStart w:id="45" w:name="ghg-scope-categorization"/>
    <w:p>
      <w:pPr>
        <w:pStyle w:val="Heading3"/>
      </w:pPr>
      <w:r>
        <w:t xml:space="preserve">4.1. GHG Scope Categorization</w:t>
      </w:r>
    </w:p>
    <w:p>
      <w:pPr>
        <w:numPr>
          <w:ilvl w:val="0"/>
          <w:numId w:val="1017"/>
        </w:numPr>
        <w:pStyle w:val="Compact"/>
      </w:pPr>
      <w:r>
        <w:rPr>
          <w:bCs/>
          <w:b/>
        </w:rPr>
        <w:t xml:space="preserve">Scope 1 (Direct Emissions):</w:t>
      </w:r>
      <w:r>
        <w:t xml:space="preserve"> </w:t>
      </w:r>
      <w:r>
        <w:t xml:space="preserve">None explicitly calculated in this cradle-to-grave PCF for the product, as the \'factory_gate\' direct emissions are not specified, only electricity use. Direct combustion at the factory would fall here.</w:t>
      </w:r>
    </w:p>
    <w:p>
      <w:pPr>
        <w:numPr>
          <w:ilvl w:val="0"/>
          <w:numId w:val="1017"/>
        </w:numPr>
        <w:pStyle w:val="Compact"/>
      </w:pPr>
      <w:r>
        <w:rPr>
          <w:bCs/>
          <w:b/>
        </w:rPr>
        <w:t xml:space="preserve">Scope 2 (Energy Indirect Emissions):</w:t>
      </w:r>
    </w:p>
    <w:p>
      <w:pPr>
        <w:numPr>
          <w:ilvl w:val="1"/>
          <w:numId w:val="1018"/>
        </w:numPr>
        <w:pStyle w:val="Compact"/>
      </w:pPr>
      <w:r>
        <w:t xml:space="preserve">Manufacturing Energy Consumption: 0.0775625 kgCO2e (from non-renewable grid electricity, relevant to the factory\'s operational emissions).</w:t>
      </w:r>
    </w:p>
    <w:p>
      <w:pPr>
        <w:numPr>
          <w:ilvl w:val="0"/>
          <w:numId w:val="1017"/>
        </w:numPr>
        <w:pStyle w:val="Compact"/>
      </w:pPr>
      <w:r>
        <w:rPr>
          <w:bCs/>
          <w:b/>
        </w:rPr>
        <w:t xml:space="preserve">Scope 3 (Other Indirect Emissions - Value Chain):</w:t>
      </w:r>
    </w:p>
    <w:p>
      <w:pPr>
        <w:numPr>
          <w:ilvl w:val="1"/>
          <w:numId w:val="1019"/>
        </w:numPr>
        <w:pStyle w:val="Compact"/>
      </w:pPr>
      <w:r>
        <w:t xml:space="preserve">Category 1 - Purchased Goods and Services (Raw Materials): 22.95 kgCO2e</w:t>
      </w:r>
    </w:p>
    <w:p>
      <w:pPr>
        <w:numPr>
          <w:ilvl w:val="1"/>
          <w:numId w:val="1019"/>
        </w:numPr>
        <w:pStyle w:val="Compact"/>
      </w:pPr>
      <w:r>
        <w:t xml:space="preserve">Category 4 - Upstream Transportation and Distribution (Inbound Logistics): 0.292 kgCO2e</w:t>
      </w:r>
    </w:p>
    <w:p>
      <w:pPr>
        <w:numPr>
          <w:ilvl w:val="1"/>
          <w:numId w:val="1019"/>
        </w:numPr>
        <w:pStyle w:val="Compact"/>
      </w:pPr>
      <w:r>
        <w:t xml:space="preserve">Category 9 - Downstream Transportation and Distribution (Outbound Logistics): 0.1825 kgCO2e</w:t>
      </w:r>
    </w:p>
    <w:p>
      <w:pPr>
        <w:numPr>
          <w:ilvl w:val="1"/>
          <w:numId w:val="1019"/>
        </w:numPr>
        <w:pStyle w:val="Compact"/>
      </w:pPr>
      <w:r>
        <w:t xml:space="preserve">Category 11 - Use of Sold Products: 31.025 kgCO2e</w:t>
      </w:r>
    </w:p>
    <w:p>
      <w:pPr>
        <w:numPr>
          <w:ilvl w:val="1"/>
          <w:numId w:val="1019"/>
        </w:numPr>
        <w:pStyle w:val="Compact"/>
      </w:pPr>
      <w:r>
        <w:t xml:space="preserve">Category 12 - End-of-Life Treatment of Sold Products: -1.813 kgCO2e</w:t>
      </w:r>
    </w:p>
    <w:bookmarkEnd w:id="45"/>
    <w:bookmarkStart w:id="46" w:name="X504f4a86e01fdcfa46a4589bb1b5e0cfaad8629"/>
    <w:p>
      <w:pPr>
        <w:pStyle w:val="Heading3"/>
      </w:pPr>
      <w:r>
        <w:t xml:space="preserve">4.2. 2026 Land Sector and Removals (LSR) Standard Update</w:t>
      </w:r>
    </w:p>
    <w:p>
      <w:pPr>
        <w:pStyle w:val="FirstParagraph"/>
      </w:pPr>
      <w:r>
        <w:t xml:space="preserve">The GHG Protocol\'s Land Sector and Removals (LSR) Standard was released on January 30, 2026, becoming effective January 1, 2027. This standard provides accounting requirements and guidance for land emissions, CO2 removals, and technological CO2 removals. This PCF analysis for jgnhstxqmn currently does not involve direct land-use change, agriculture, or significant biogenic carbon flows that would fall under the detailed provisions of the LSR Standard. However, any future expansion of the supply chain to include agricultural products or specific carbon removal technologies would necessitate a detailed application of this standard, potentially impacting upstream material emissions (Scope 3, Category 1) or offering removal credits. The current EoL recycling benefits acknowledge a form of material recovery, aligning with the spirit of circularity encouraged by such standards.</w:t>
      </w:r>
    </w:p>
    <w:bookmarkEnd w:id="46"/>
    <w:bookmarkStart w:id="47" w:name="scope-3-compliance-2026-requirements"/>
    <w:p>
      <w:pPr>
        <w:pStyle w:val="Heading3"/>
      </w:pPr>
      <w:r>
        <w:t xml:space="preserve">4.3. Scope 3 Compliance (2026 Requirements)</w:t>
      </w:r>
    </w:p>
    <w:p>
      <w:pPr>
        <w:pStyle w:val="FirstParagraph"/>
      </w:pPr>
      <w:r>
        <w:t xml:space="preserve">The 2026 GHG Protocol Scope 3 requirements mandate at least 95% coverage of total required Scope 3 emissions. This report aims for comprehensive coverage by including all major value chain emission sources identified: purchased goods and services, upstream and downstream transportation, use of sold products, and end-of-life treatment. Given the detailed BOM, logistics, use phase, and EoL data provided, this analysis achieves a high level of completeness. Any minor emission sources not explicitly quantified are considered to fall within the permissible 5% exclusion threshold, which requires quantification, disclosure, and justification. Future reporting will disaggregate data by type (primary vs. secondary) for enhanced transparency.</w:t>
      </w:r>
    </w:p>
    <w:p>
      <w:r>
        <w:pict>
          <v:rect style="width:0;height:1.5pt" o:hralign="center" o:hrstd="t" o:hr="t"/>
        </w:pict>
      </w:r>
    </w:p>
    <w:bookmarkEnd w:id="47"/>
    <w:bookmarkEnd w:id="48"/>
    <w:bookmarkStart w:id="50" w:name="hotspots-and-recommendations"/>
    <w:p>
      <w:pPr>
        <w:pStyle w:val="Heading2"/>
      </w:pPr>
      <w:r>
        <w:t xml:space="preserve">5. Hotspots and Recommendations</w:t>
      </w:r>
    </w:p>
    <w:p>
      <w:pPr>
        <w:pStyle w:val="FirstParagraph"/>
      </w:pPr>
      <w:r>
        <w:t xml:space="preserve">The analysis reveals the following major emission hotspots for jgnhstxqmn:</w:t>
      </w:r>
    </w:p>
    <w:p>
      <w:pPr>
        <w:numPr>
          <w:ilvl w:val="0"/>
          <w:numId w:val="1020"/>
        </w:numPr>
        <w:pStyle w:val="Compact"/>
      </w:pPr>
      <w:r>
        <w:rPr>
          <w:bCs/>
          <w:b/>
        </w:rPr>
        <w:t xml:space="preserve">Use Phase (31.025 kgCO2e):</w:t>
      </w:r>
      <w:r>
        <w:t xml:space="preserve"> </w:t>
      </w:r>
      <w:r>
        <w:t xml:space="preserve">This is the dominant contributor, primarily due to the energy consumption over the product\'s 5-year lifespan. This represents nearly 59% of the total PCF.</w:t>
      </w:r>
    </w:p>
    <w:p>
      <w:pPr>
        <w:numPr>
          <w:ilvl w:val="0"/>
          <w:numId w:val="1020"/>
        </w:numPr>
        <w:pStyle w:val="Compact"/>
      </w:pPr>
      <w:r>
        <w:rPr>
          <w:bCs/>
          <w:b/>
        </w:rPr>
        <w:t xml:space="preserve">Material Acquisition (22.95 kgCO2e):</w:t>
      </w:r>
      <w:r>
        <w:t xml:space="preserve"> </w:t>
      </w:r>
      <w:r>
        <w:t xml:space="preserve">The production of raw materials, particularly the Circuit Board (15.0 kgCO2e), is a significant upstream impact, accounting for approximately 43% of the total PCF.</w:t>
      </w:r>
    </w:p>
    <w:p>
      <w:pPr>
        <w:numPr>
          <w:ilvl w:val="0"/>
          <w:numId w:val="1020"/>
        </w:numPr>
        <w:pStyle w:val="Compact"/>
      </w:pPr>
      <w:r>
        <w:rPr>
          <w:bCs/>
          <w:b/>
        </w:rPr>
        <w:t xml:space="preserve">Transportation (Inbound &amp; Outbound):</w:t>
      </w:r>
      <w:r>
        <w:t xml:space="preserve"> </w:t>
      </w:r>
      <w:r>
        <w:t xml:space="preserve">While relatively smaller, these contribute to the overall footprint.</w:t>
      </w:r>
    </w:p>
    <w:bookmarkStart w:id="49" w:name="recommendations"/>
    <w:p>
      <w:pPr>
        <w:pStyle w:val="Heading3"/>
      </w:pPr>
      <w:r>
        <w:t xml:space="preserve">Recommendations:</w:t>
      </w:r>
    </w:p>
    <w:p>
      <w:pPr>
        <w:numPr>
          <w:ilvl w:val="0"/>
          <w:numId w:val="1021"/>
        </w:numPr>
        <w:pStyle w:val="Compact"/>
      </w:pPr>
      <w:r>
        <w:rPr>
          <w:bCs/>
          <w:b/>
        </w:rPr>
        <w:t xml:space="preserve">Optimize Use Phase Efficiency:</w:t>
      </w:r>
    </w:p>
    <w:p>
      <w:pPr>
        <w:numPr>
          <w:ilvl w:val="1"/>
          <w:numId w:val="1022"/>
        </w:numPr>
        <w:pStyle w:val="Compact"/>
      </w:pPr>
      <w:r>
        <w:t xml:space="preserve">Invest in research and development to reduce the product\'s energy consumption during use (eqjrdvxehy).</w:t>
      </w:r>
    </w:p>
    <w:p>
      <w:pPr>
        <w:numPr>
          <w:ilvl w:val="1"/>
          <w:numId w:val="1022"/>
        </w:numPr>
        <w:pStyle w:val="Compact"/>
      </w:pPr>
      <w:r>
        <w:t xml:space="preserve">Explore options for incorporating more energy-efficient components or alternative power sources if applicable.</w:t>
      </w:r>
    </w:p>
    <w:p>
      <w:pPr>
        <w:numPr>
          <w:ilvl w:val="1"/>
          <w:numId w:val="1022"/>
        </w:numPr>
        <w:pStyle w:val="Compact"/>
      </w:pPr>
      <w:r>
        <w:t xml:space="preserve">Promote user behaviors that minimize energy usage, possibly through smart features or educational guides.</w:t>
      </w:r>
    </w:p>
    <w:p>
      <w:pPr>
        <w:numPr>
          <w:ilvl w:val="0"/>
          <w:numId w:val="1021"/>
        </w:numPr>
        <w:pStyle w:val="Compact"/>
      </w:pPr>
      <w:r>
        <w:rPr>
          <w:bCs/>
          <w:b/>
        </w:rPr>
        <w:t xml:space="preserve">Sustainable Material Sourcing:</w:t>
      </w:r>
    </w:p>
    <w:p>
      <w:pPr>
        <w:numPr>
          <w:ilvl w:val="1"/>
          <w:numId w:val="1023"/>
        </w:numPr>
        <w:pStyle w:val="Compact"/>
      </w:pPr>
      <w:r>
        <w:t xml:space="preserve">Engage with suppliers of high-impact components, especially for the Circuit Board, to explore lower-carbon manufacturing processes or alternative materials with lower embodied carbon.</w:t>
      </w:r>
    </w:p>
    <w:p>
      <w:pPr>
        <w:numPr>
          <w:ilvl w:val="1"/>
          <w:numId w:val="1023"/>
        </w:numPr>
        <w:pStyle w:val="Compact"/>
      </w:pPr>
      <w:r>
        <w:t xml:space="preserve">Prioritize suppliers that provide primary data for their materials\' carbon footprints to improve data accuracy.</w:t>
      </w:r>
    </w:p>
    <w:p>
      <w:pPr>
        <w:numPr>
          <w:ilvl w:val="0"/>
          <w:numId w:val="1021"/>
        </w:numPr>
        <w:pStyle w:val="Compact"/>
      </w:pPr>
      <w:r>
        <w:rPr>
          <w:bCs/>
          <w:b/>
        </w:rPr>
        <w:t xml:space="preserve">Enhance Circularity:</w:t>
      </w:r>
    </w:p>
    <w:p>
      <w:pPr>
        <w:numPr>
          <w:ilvl w:val="1"/>
          <w:numId w:val="1024"/>
        </w:numPr>
        <w:pStyle w:val="Compact"/>
      </w:pPr>
      <w:r>
        <w:t xml:space="preserve">Leverage the existing circular/take-back program (zlvzyukwdy) to maximize material recovery and reuse, further increasing the positive impact of the End-of-Life phase.</w:t>
      </w:r>
    </w:p>
    <w:p>
      <w:pPr>
        <w:numPr>
          <w:ilvl w:val="1"/>
          <w:numId w:val="1024"/>
        </w:numPr>
        <w:pStyle w:val="Compact"/>
      </w:pPr>
      <w:r>
        <w:t xml:space="preserve">Explore design for disassembly and modularity to facilitate repair, refurbishment, and easier recycling of components, especially for the circuit board.</w:t>
      </w:r>
    </w:p>
    <w:p>
      <w:pPr>
        <w:numPr>
          <w:ilvl w:val="1"/>
          <w:numId w:val="1024"/>
        </w:numPr>
        <w:pStyle w:val="Compact"/>
      </w:pPr>
      <w:r>
        <w:t xml:space="preserve">Increase the recyclability percentage beyond the current 80% where technically and economically feasible.</w:t>
      </w:r>
    </w:p>
    <w:p>
      <w:pPr>
        <w:numPr>
          <w:ilvl w:val="0"/>
          <w:numId w:val="1021"/>
        </w:numPr>
        <w:pStyle w:val="Compact"/>
      </w:pPr>
      <w:r>
        <w:rPr>
          <w:bCs/>
          <w:b/>
        </w:rPr>
        <w:t xml:space="preserve">Renewable Energy Integration:</w:t>
      </w:r>
    </w:p>
    <w:p>
      <w:pPr>
        <w:numPr>
          <w:ilvl w:val="1"/>
          <w:numId w:val="1025"/>
        </w:numPr>
        <w:pStyle w:val="Compact"/>
      </w:pPr>
      <w:r>
        <w:t xml:space="preserve">Increase the renewable energy usage (luwoiqkqvw) at the manufacturing facility in China, potentially through on-site generation or purchasing high-quality renewable energy credits.</w:t>
      </w:r>
    </w:p>
    <w:p>
      <w:pPr>
        <w:numPr>
          <w:ilvl w:val="1"/>
          <w:numId w:val="1025"/>
        </w:numPr>
        <w:pStyle w:val="Compact"/>
      </w:pPr>
      <w:r>
        <w:t xml:space="preserve">Encourage suppliers to transition to renewable energy sources for their manufacturing processes.</w:t>
      </w:r>
    </w:p>
    <w:p>
      <w:pPr>
        <w:numPr>
          <w:ilvl w:val="0"/>
          <w:numId w:val="1021"/>
        </w:numPr>
        <w:pStyle w:val="Compact"/>
      </w:pPr>
      <w:r>
        <w:rPr>
          <w:bCs/>
          <w:b/>
        </w:rPr>
        <w:t xml:space="preserve">Logistics Optimization:</w:t>
      </w:r>
    </w:p>
    <w:p>
      <w:pPr>
        <w:numPr>
          <w:ilvl w:val="1"/>
          <w:numId w:val="1026"/>
        </w:numPr>
        <w:pStyle w:val="Compact"/>
      </w:pPr>
      <w:r>
        <w:t xml:space="preserve">Evaluate opportunities to optimize transportation routes and modes (e.g., shifting from air to sea for more components where time allows) to further reduce inbound and outbound logistics emissions.</w:t>
      </w:r>
    </w:p>
    <w:p>
      <w:pPr>
        <w:numPr>
          <w:ilvl w:val="1"/>
          <w:numId w:val="1026"/>
        </w:numPr>
        <w:pStyle w:val="Compact"/>
      </w:pPr>
      <w:r>
        <w:t xml:space="preserve">Collaborate with logistics partners committed to lower-emission fleets or alternative fuels.</w:t>
      </w:r>
    </w:p>
    <w:p>
      <w:r>
        <w:pict>
          <v:rect style="width:0;height:1.5pt" o:hralign="center" o:hrstd="t" o:hr="t"/>
        </w:pict>
      </w:r>
    </w:p>
    <w:bookmarkEnd w:id="49"/>
    <w:bookmarkEnd w:id="50"/>
    <w:bookmarkStart w:id="51" w:name="conclusion"/>
    <w:p>
      <w:pPr>
        <w:pStyle w:val="Heading2"/>
      </w:pPr>
      <w:r>
        <w:t xml:space="preserve">6. Conclusion</w:t>
      </w:r>
    </w:p>
    <w:p>
      <w:pPr>
        <w:pStyle w:val="FirstParagraph"/>
      </w:pPr>
      <w:r>
        <w:t xml:space="preserve">The Product Carbon Footprint for one unit of jgnhstxqmn is calculated to be 52.71 kgCO2e. The primary emission drivers are identified as the product\'s use phase and the embodied emissions in purchased materials. By focusing on these hotspots, eqfkdmzzzq can develop targeted strategies to significantly reduce the environmental impact of jgnhstxqmn throughout its lifecycle. Continuous monitoring and improvement, guided by the robust framework of the GHG Protocol and its evolving standards, will be crucial for achieving sustainability goals and demonstrating leadership in environmental stewardship.</w:t>
      </w:r>
    </w:p>
    <w:p>
      <w:r>
        <w:pict>
          <v:rect style="width:0;height:1.5pt" o:hralign="center" o:hrstd="t" o:hr="t"/>
        </w:pict>
      </w:r>
    </w:p>
    <w:p>
      <w:pPr>
        <w:pStyle w:val="FirstParagraph"/>
      </w:pPr>
      <w:r>
        <w:t xml:space="preserve">Confidential - Internal Use Only</w:t>
      </w:r>
    </w:p>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jgnhstxqmn</dc:title>
  <dc:creator/>
  <dc:description>High-detail Product Carbon Footprint (PCF) analysis for jgnhstxqmn by Senior Sustainability Consultant kjypmeloiv, adhering to GHG Protocol 2026 updates, including LSR and Scope 3 compliance.</dc:description>
  <dc:language>en</dc:language>
  <cp:keywords/>
  <dcterms:created xsi:type="dcterms:W3CDTF">2026-07-15T10:36:07Z</dcterms:created>
  <dcterms:modified xsi:type="dcterms:W3CDTF">2026-07-15T10:36:07Z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