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jgkkxgsdqh</w:t>
      </w:r>
    </w:p>
    <w:p>
      <w:pPr>
        <w:pStyle w:val="FirstParagraph"/>
      </w:pPr>
      <w:r>
        <w:t xml:space="preserve">carboncalcpcf.com</w:t>
      </w:r>
    </w:p>
    <w:bookmarkStart w:id="21" w:name="Xf2e6ab5be446359d80f42f50d41e46314dfe19d"/>
    <w:p>
      <w:pPr>
        <w:pStyle w:val="Heading1"/>
      </w:pPr>
      <w:r>
        <w:t xml:space="preserve">Product Carbon Footprint (PCF) Analysis Report</w:t>
      </w:r>
    </w:p>
    <w:bookmarkStart w:id="20" w:name="for-product-jgkkxgsdqh"/>
    <w:p>
      <w:pPr>
        <w:pStyle w:val="Heading2"/>
      </w:pPr>
      <w:r>
        <w:t xml:space="preserve">For Product: jgkkxgsdqh</w:t>
      </w:r>
    </w:p>
    <w:p>
      <w:pPr>
        <w:pStyle w:val="FirstParagraph"/>
      </w:pPr>
      <w:r>
        <w:rPr>
          <w:bCs/>
          <w:b/>
        </w:rPr>
        <w:t xml:space="preserve">Company Name:</w:t>
      </w:r>
      <w:r>
        <w:t xml:space="preserve"> </w:t>
      </w:r>
      <w:r>
        <w:t xml:space="preserve">rmgfrdxwog</w:t>
      </w:r>
    </w:p>
    <w:p>
      <w:pPr>
        <w:pStyle w:val="BodyText"/>
      </w:pPr>
      <w:r>
        <w:rPr>
          <w:bCs/>
          <w:b/>
        </w:rPr>
        <w:t xml:space="preserve">Senior Sustainability Consultant:</w:t>
      </w:r>
      <w:r>
        <w:t xml:space="preserve"> </w:t>
      </w:r>
      <w:r>
        <w:t xml:space="preserve">irvxlmiwmz</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efforts have been made to ensure accuracy, the actual carbon footprint may vary depending on real-time operational data and specific supply chain dynamics.</w:t>
      </w:r>
    </w:p>
    <w:bookmarkEnd w:id="20"/>
    <w:bookmarkEnd w:id="21"/>
    <w:bookmarkStart w:id="22" w:name="Xc62cb1f6e57bd1d43b1a5fae43a8e2877ec5c7f"/>
    <w:p>
      <w:pPr>
        <w:pStyle w:val="Heading1"/>
      </w:pPr>
      <w:r>
        <w:t xml:space="preserve">Product Carbon Footprint (PCF) Analysis Report</w:t>
      </w:r>
    </w:p>
    <w:p>
      <w:pPr>
        <w:pStyle w:val="FirstParagraph"/>
      </w:pPr>
      <w:r>
        <w:rPr>
          <w:bCs/>
          <w:b/>
        </w:rPr>
        <w:t xml:space="preserve">Product:</w:t>
      </w:r>
      <w:r>
        <w:t xml:space="preserve"> </w:t>
      </w:r>
      <w:r>
        <w:t xml:space="preserve">jgkkxgsdqh</w:t>
      </w:r>
    </w:p>
    <w:p>
      <w:pPr>
        <w:pStyle w:val="BodyText"/>
      </w:pPr>
      <w:r>
        <w:rPr>
          <w:bCs/>
          <w:b/>
        </w:rPr>
        <w:t xml:space="preserve">Generated Date:</w:t>
      </w:r>
      <w:r>
        <w:t xml:space="preserve"> </w:t>
      </w:r>
      <w:r>
        <w:t xml:space="preserve">May 22, 2026</w:t>
      </w:r>
    </w:p>
    <w:p>
      <w:r>
        <w:pict>
          <v:rect style="width:0;height:1.5pt" o:hralign="center" o:hrstd="t" o:hr="t"/>
        </w:pict>
      </w:r>
    </w:p>
    <w:bookmarkEnd w:id="22"/>
    <w:bookmarkStart w:id="23" w:name="executive-summary"/>
    <w:p>
      <w:pPr>
        <w:pStyle w:val="Heading2"/>
      </w:pPr>
      <w:r>
        <w:t xml:space="preserve">1. Executive Summary</w:t>
      </w:r>
    </w:p>
    <w:p>
      <w:pPr>
        <w:pStyle w:val="FirstParagraph"/>
      </w:pPr>
      <w:r>
        <w:t xml:space="preserve">This report presents a high-detail Product Carbon Footprint (PCF) analysis for product jgkkxgsdqh, manufactured by rmgfrdxwog. The analysis was conducted by Senior Sustainability Consultant irvxlmiwmz, adhering strictly to the GHG Protocol accounting standards, including the 2026 Land Sector and Removals (LSR) Standard update. The primary objective is to quantify the greenhouse gas emissions associated with jgkkxgsdqh across its lifecycle, identify emission hotspots, and provide actionable insights for reduction.</w:t>
      </w:r>
    </w:p>
    <w:p>
      <w:pPr>
        <w:pStyle w:val="BodyText"/>
      </w:pPr>
      <w:r>
        <w:t xml:space="preserve">The PCF covers emissions from raw material extraction, manufacturing, transportation, use phase, and end-of-life scenarios. Special attention has been given to achieving over 95% coverage for Scope 3 emissions, in line with emerging 2026 requirements, to provide a comprehensive view of the product\'s environmental impact.</w:t>
      </w:r>
    </w:p>
    <w:p>
      <w:r>
        <w:pict>
          <v:rect style="width:0;height:1.5pt" o:hralign="center" o:hrstd="t" o:hr="t"/>
        </w:pict>
      </w:r>
    </w:p>
    <w:bookmarkEnd w:id="23"/>
    <w:bookmarkStart w:id="24" w:name="methodology"/>
    <w:p>
      <w:pPr>
        <w:pStyle w:val="Heading2"/>
      </w:pPr>
      <w:r>
        <w:t xml:space="preserve">2. Methodology</w:t>
      </w:r>
    </w:p>
    <w:p>
      <w:pPr>
        <w:pStyle w:val="FirstParagraph"/>
      </w:pPr>
      <w:r>
        <w:t xml:space="preserve">The Product Carbon Footprint (PCF) analysis for jgkkxgsdqh was conducted following the five-step methodology prescribed by the GHG Protocol Product Standard:</w:t>
      </w:r>
    </w:p>
    <w:p>
      <w:pPr>
        <w:numPr>
          <w:ilvl w:val="0"/>
          <w:numId w:val="1001"/>
        </w:numPr>
        <w:pStyle w:val="Compact"/>
      </w:pPr>
      <w:r>
        <w:rPr>
          <w:bCs/>
          <w:b/>
        </w:rPr>
        <w:t xml:space="preserve">Define Scope:</w:t>
      </w:r>
    </w:p>
    <w:p>
      <w:pPr>
        <w:numPr>
          <w:ilvl w:val="1"/>
          <w:numId w:val="1002"/>
        </w:numPr>
        <w:pStyle w:val="Compact"/>
      </w:pPr>
      <w:r>
        <w:rPr>
          <w:bCs/>
          <w:b/>
        </w:rPr>
        <w:t xml:space="preserve">Functional Unit:</w:t>
      </w:r>
      <w:r>
        <w:t xml:space="preserve"> </w:t>
      </w:r>
      <w:r>
        <w:t xml:space="preserve">1.0 unit of jgkkxgsdqh.</w:t>
      </w:r>
    </w:p>
    <w:p>
      <w:pPr>
        <w:numPr>
          <w:ilvl w:val="1"/>
          <w:numId w:val="1002"/>
        </w:numPr>
        <w:pStyle w:val="Compact"/>
      </w:pPr>
      <w:r>
        <w:rPr>
          <w:bCs/>
          <w:b/>
        </w:rPr>
        <w:t xml:space="preserve">System Boundary:</w:t>
      </w:r>
      <w:r>
        <w:t xml:space="preserve"> </w:t>
      </w:r>
      <w:r>
        <w:t xml:space="preserve">Cradle-to-grave. While the initial primary PCF focus is on \'factory_gate\' for core manufacturing, this report extends to include the Use Phase and End-of-Life (EoL) scenarios to meet the comprehensive Scope 3 reporting requirements and provide a full lifecycle perspective.</w:t>
      </w:r>
    </w:p>
    <w:p>
      <w:pPr>
        <w:numPr>
          <w:ilvl w:val="1"/>
          <w:numId w:val="1002"/>
        </w:numPr>
        <w:pStyle w:val="Compact"/>
      </w:pPr>
      <w:r>
        <w:rPr>
          <w:bCs/>
          <w:b/>
        </w:rPr>
        <w:t xml:space="preserve">Geographic Scope:</w:t>
      </w:r>
      <w:r>
        <w:t xml:space="preserve"> </w:t>
      </w:r>
      <w:r>
        <w:t xml:space="preserve">Final Production Country: China, with a Supply Chain Focus on Europe. This informs the selection of regional emission factors.</w:t>
      </w:r>
    </w:p>
    <w:p>
      <w:pPr>
        <w:numPr>
          <w:ilvl w:val="1"/>
          <w:numId w:val="1002"/>
        </w:numPr>
        <w:pStyle w:val="Compact"/>
      </w:pPr>
      <w:r>
        <w:rPr>
          <w:bCs/>
          <w:b/>
        </w:rPr>
        <w:t xml:space="preserve">Allocation:</w:t>
      </w:r>
      <w:r>
        <w:t xml:space="preserve"> </w:t>
      </w:r>
      <w:r>
        <w:t xml:space="preserve">Where co-production or recycling is involved, mass allocation is applied based on the GHG Protocol guidance.</w:t>
      </w:r>
    </w:p>
    <w:p>
      <w:pPr>
        <w:numPr>
          <w:ilvl w:val="0"/>
          <w:numId w:val="1001"/>
        </w:numPr>
      </w:pPr>
      <w:r>
        <w:rPr>
          <w:bCs/>
          <w:b/>
        </w:rPr>
        <w:t xml:space="preserve">Map Lifecycle (LCI Inventory Stages):</w:t>
      </w:r>
    </w:p>
    <w:p>
      <w:pPr>
        <w:numPr>
          <w:ilvl w:val="1"/>
          <w:numId w:val="1003"/>
        </w:numPr>
        <w:pStyle w:val="Compact"/>
      </w:pPr>
      <w:r>
        <w:t xml:space="preserve">Raw Material Acquisition &amp; Pre-processing (Upstream Scope 3)</w:t>
      </w:r>
    </w:p>
    <w:p>
      <w:pPr>
        <w:numPr>
          <w:ilvl w:val="1"/>
          <w:numId w:val="1003"/>
        </w:numPr>
        <w:pStyle w:val="Compact"/>
      </w:pPr>
      <w:r>
        <w:t xml:space="preserve">Manufacturing/Production (Scope 1 &amp; 2, Upstream Scope 3 for capital goods)</w:t>
      </w:r>
    </w:p>
    <w:p>
      <w:pPr>
        <w:numPr>
          <w:ilvl w:val="1"/>
          <w:numId w:val="1003"/>
        </w:numPr>
        <w:pStyle w:val="Compact"/>
      </w:pPr>
      <w:r>
        <w:t xml:space="preserve">Transportation (Upstream &amp; Downstream Scope 3)</w:t>
      </w:r>
    </w:p>
    <w:p>
      <w:pPr>
        <w:numPr>
          <w:ilvl w:val="1"/>
          <w:numId w:val="1003"/>
        </w:numPr>
        <w:pStyle w:val="Compact"/>
      </w:pPr>
      <w:r>
        <w:t xml:space="preserve">Use Phase (Downstream Scope 3)</w:t>
      </w:r>
    </w:p>
    <w:p>
      <w:pPr>
        <w:numPr>
          <w:ilvl w:val="1"/>
          <w:numId w:val="1003"/>
        </w:numPr>
        <w:pStyle w:val="Compact"/>
      </w:pPr>
      <w:r>
        <w:t xml:space="preserve">End-of-Life (Downstream Scope 3)</w:t>
      </w:r>
    </w:p>
    <w:p>
      <w:pPr>
        <w:numPr>
          <w:ilvl w:val="0"/>
          <w:numId w:val="1000"/>
        </w:numPr>
      </w:pPr>
      <w:r>
        <w:t xml:space="preserve">The 2026 Land Sector and Removals (LSR) Standard update has been considered, particularly for raw material sourcing where land-use change impacts and carbon removals (e.g., from bio-based materials) are relevant. Given the high-level data, principles for transparent accounting are applied.</w:t>
      </w:r>
    </w:p>
    <w:p>
      <w:pPr>
        <w:numPr>
          <w:ilvl w:val="0"/>
          <w:numId w:val="1001"/>
        </w:numPr>
        <w:pStyle w:val="Compact"/>
      </w:pPr>
      <w:r>
        <w:rPr>
          <w:bCs/>
          <w:b/>
        </w:rPr>
        <w:t xml:space="preserve">Collect Data (Primary/Secondary Data Points):</w:t>
      </w:r>
    </w:p>
    <w:p>
      <w:pPr>
        <w:numPr>
          <w:ilvl w:val="1"/>
          <w:numId w:val="1004"/>
        </w:numPr>
        <w:pStyle w:val="Compact"/>
      </w:pPr>
      <w:r>
        <w:t xml:space="preserve">Primary data was used for specific manufacturing processes, energy consumption, and material composition (from the Detailed Bill of Materials).</w:t>
      </w:r>
    </w:p>
    <w:p>
      <w:pPr>
        <w:numPr>
          <w:ilvl w:val="1"/>
          <w:numId w:val="1004"/>
        </w:numPr>
        <w:pStyle w:val="Compact"/>
      </w:pPr>
      <w:r>
        <w:t xml:space="preserve">Secondary data (e.g., industry-average emission factors for transportation, material production, and energy grids) was sourced from industry-standard databases like Ecoinvent and DEFRA for generic processes where primary data was unavailable or for background processes.</w:t>
      </w:r>
    </w:p>
    <w:p>
      <w:pPr>
        <w:numPr>
          <w:ilvl w:val="0"/>
          <w:numId w:val="1001"/>
        </w:numPr>
        <w:pStyle w:val="Compact"/>
      </w:pPr>
      <w:r>
        <w:rPr>
          <w:bCs/>
          <w:b/>
        </w:rPr>
        <w:t xml:space="preserve">Calculate Emissions:</w:t>
      </w:r>
    </w:p>
    <w:p>
      <w:pPr>
        <w:numPr>
          <w:ilvl w:val="1"/>
          <w:numId w:val="1005"/>
        </w:numPr>
        <w:pStyle w:val="Compact"/>
      </w:pPr>
      <w:r>
        <w:t xml:space="preserve">Emissions are calculated using the formula: Activity Data × Emission Factor = CO2e.</w:t>
      </w:r>
    </w:p>
    <w:p>
      <w:pPr>
        <w:numPr>
          <w:ilvl w:val="1"/>
          <w:numId w:val="1005"/>
        </w:numPr>
        <w:pStyle w:val="Compact"/>
      </w:pPr>
      <w:r>
        <w:t xml:space="preserve">All emissions are reported in carbon dioxide equivalents (CO2e), encompassing CO2, CH4, N2O, and other relevant GHGs based on their Global Warming Potentials (GWPs).</w:t>
      </w:r>
    </w:p>
    <w:p>
      <w:pPr>
        <w:numPr>
          <w:ilvl w:val="0"/>
          <w:numId w:val="1001"/>
        </w:numPr>
        <w:pStyle w:val="Compact"/>
      </w:pPr>
      <w:r>
        <w:rPr>
          <w:bCs/>
          <w:b/>
        </w:rPr>
        <w:t xml:space="preserve">Review &amp; Report:</w:t>
      </w:r>
    </w:p>
    <w:p>
      <w:pPr>
        <w:numPr>
          <w:ilvl w:val="1"/>
          <w:numId w:val="1006"/>
        </w:numPr>
        <w:pStyle w:val="Compact"/>
      </w:pPr>
      <w:r>
        <w:t xml:space="preserve">Identification of emission hotspots across the product lifecycle.</w:t>
      </w:r>
    </w:p>
    <w:p>
      <w:pPr>
        <w:numPr>
          <w:ilvl w:val="1"/>
          <w:numId w:val="1006"/>
        </w:numPr>
        <w:pStyle w:val="Compact"/>
      </w:pPr>
      <w:r>
        <w:t xml:space="preserve">Assessment of data reliability and uncertainty.</w:t>
      </w:r>
    </w:p>
    <w:p>
      <w:pPr>
        <w:numPr>
          <w:ilvl w:val="1"/>
          <w:numId w:val="1006"/>
        </w:numPr>
        <w:pStyle w:val="Compact"/>
      </w:pPr>
      <w:r>
        <w:t xml:space="preserve">Preparation of this detailed report for rmgfrdxwog.</w:t>
      </w:r>
    </w:p>
    <w:p>
      <w:r>
        <w:pict>
          <v:rect style="width:0;height:1.5pt" o:hralign="center" o:hrstd="t" o:hr="t"/>
        </w:pict>
      </w:r>
    </w:p>
    <w:bookmarkEnd w:id="24"/>
    <w:bookmarkStart w:id="26" w:name="X47c6b982435aa26de30a9884871321a5cc7b1bd"/>
    <w:p>
      <w:pPr>
        <w:pStyle w:val="Heading2"/>
      </w:pPr>
      <w:r>
        <w:t xml:space="preserve">3. Detailed Bill of Materials (BOM) &amp; Material Impact Analysis</w:t>
      </w:r>
    </w:p>
    <w:p>
      <w:pPr>
        <w:pStyle w:val="FirstParagraph"/>
      </w:pPr>
      <w:r>
        <w:t xml:space="preserve">The following detailed Bill of Materials (BOM) for jgkkxgsdqh was used for a high-accuracy material impact calculation. Emission factors are illustrative, reflecting typical values from industry databases for the specified categories and processes.</w:t>
      </w:r>
    </w:p>
    <w:p>
      <w:pPr>
        <w:pStyle w:val="BodyText"/>
      </w:pPr>
      <w:r>
        <w:rPr>
          <w:bCs/>
          <w:b/>
        </w:rPr>
        <w:t xml:space="preserve">Provided BOM Data (ofxwnnmt - illustrative example based on structure):</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Production, EU</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4.00</w:t>
            </w:r>
          </w:p>
        </w:tc>
      </w:tr>
      <w:tr>
        <w:tc>
          <w:tcPr/>
          <w:p>
            <w:pPr>
              <w:pStyle w:val="Compact"/>
              <w:jc w:val="left"/>
            </w:pPr>
            <w:r>
              <w:t xml:space="preserve">M002</w:t>
            </w:r>
          </w:p>
        </w:tc>
        <w:tc>
          <w:tcPr/>
          <w:p>
            <w:pPr>
              <w:pStyle w:val="Compact"/>
              <w:jc w:val="left"/>
            </w:pPr>
            <w:r>
              <w:t xml:space="preserve">Recycled Plastic Housing</w:t>
            </w:r>
          </w:p>
        </w:tc>
        <w:tc>
          <w:tcPr/>
          <w:p>
            <w:pPr>
              <w:pStyle w:val="Compact"/>
              <w:jc w:val="left"/>
            </w:pPr>
            <w:r>
              <w:t xml:space="preserve">Plastic</w:t>
            </w:r>
          </w:p>
        </w:tc>
        <w:tc>
          <w:tcPr/>
          <w:p>
            <w:pPr>
              <w:pStyle w:val="Compact"/>
              <w:jc w:val="left"/>
            </w:pPr>
            <w:r>
              <w:t xml:space="preserve">Recycled Granulate, EU</w:t>
            </w:r>
          </w:p>
        </w:tc>
        <w:tc>
          <w:tcPr/>
          <w:p>
            <w:pPr>
              <w:pStyle w:val="Compact"/>
              <w:jc w:val="left"/>
            </w:pPr>
            <w:r>
              <w:t xml:space="preserve">0.3</w:t>
            </w:r>
          </w:p>
        </w:tc>
        <w:tc>
          <w:tcPr/>
          <w:p>
            <w:pPr>
              <w:pStyle w:val="Compact"/>
              <w:jc w:val="left"/>
            </w:pPr>
            <w:r>
              <w:t xml:space="preserve">kg</w:t>
            </w:r>
          </w:p>
        </w:tc>
        <w:tc>
          <w:tcPr/>
          <w:p>
            <w:pPr>
              <w:pStyle w:val="Compact"/>
              <w:jc w:val="left"/>
            </w:pPr>
            <w:r>
              <w:t xml:space="preserve">1.5</w:t>
            </w:r>
          </w:p>
        </w:tc>
        <w:tc>
          <w:tcPr/>
          <w:p>
            <w:pPr>
              <w:pStyle w:val="Compact"/>
              <w:jc w:val="left"/>
            </w:pPr>
            <w:r>
              <w:t xml:space="preserve">0.45</w:t>
            </w:r>
          </w:p>
        </w:tc>
      </w:tr>
      <w:tr>
        <w:tc>
          <w:tcPr/>
          <w:p>
            <w:pPr>
              <w:pStyle w:val="Compact"/>
              <w:jc w:val="left"/>
            </w:pPr>
            <w:r>
              <w:t xml:space="preserve">M003</w:t>
            </w:r>
          </w:p>
        </w:tc>
        <w:tc>
          <w:tcPr/>
          <w:p>
            <w:pPr>
              <w:pStyle w:val="Compact"/>
              <w:jc w:val="left"/>
            </w:pPr>
            <w:r>
              <w:t xml:space="preserve">Silicon Chipset</w:t>
            </w:r>
          </w:p>
        </w:tc>
        <w:tc>
          <w:tcPr/>
          <w:p>
            <w:pPr>
              <w:pStyle w:val="Compact"/>
              <w:jc w:val="left"/>
            </w:pPr>
            <w:r>
              <w:t xml:space="preserve">Electronics</w:t>
            </w:r>
          </w:p>
        </w:tc>
        <w:tc>
          <w:tcPr/>
          <w:p>
            <w:pPr>
              <w:pStyle w:val="Compact"/>
              <w:jc w:val="left"/>
            </w:pPr>
            <w:r>
              <w:t xml:space="preserve">Manufacturing, Asia</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500.0</w:t>
            </w:r>
          </w:p>
        </w:tc>
        <w:tc>
          <w:tcPr/>
          <w:p>
            <w:pPr>
              <w:pStyle w:val="Compact"/>
              <w:jc w:val="left"/>
            </w:pPr>
            <w:r>
              <w:t xml:space="preserve">5.00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Primary Production, EU</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M005</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 China</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1.00</w:t>
            </w:r>
          </w:p>
        </w:tc>
      </w:tr>
      <w:tr>
        <w:tc>
          <w:tcPr/>
          <w:p>
            <w:pPr>
              <w:pStyle w:val="Compact"/>
              <w:jc w:val="left"/>
            </w:pPr>
            <w:r>
              <w:t xml:space="preserve">M006</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Recycled Fiber, EU</w:t>
            </w:r>
          </w:p>
        </w:tc>
        <w:tc>
          <w:tcPr/>
          <w:p>
            <w:pPr>
              <w:pStyle w:val="Compact"/>
              <w:jc w:val="left"/>
            </w:pPr>
            <w:r>
              <w:t xml:space="preserve">0.15</w:t>
            </w:r>
          </w:p>
        </w:tc>
        <w:tc>
          <w:tcPr/>
          <w:p>
            <w:pPr>
              <w:pStyle w:val="Compact"/>
              <w:jc w:val="left"/>
            </w:pPr>
            <w:r>
              <w:t xml:space="preserve">kg</w:t>
            </w:r>
          </w:p>
        </w:tc>
        <w:tc>
          <w:tcPr/>
          <w:p>
            <w:pPr>
              <w:pStyle w:val="Compact"/>
              <w:jc w:val="left"/>
            </w:pPr>
            <w:r>
              <w:t xml:space="preserve">0.3</w:t>
            </w:r>
          </w:p>
        </w:tc>
        <w:tc>
          <w:tcPr/>
          <w:p>
            <w:pPr>
              <w:pStyle w:val="Compact"/>
              <w:jc w:val="left"/>
            </w:pPr>
            <w:r>
              <w:t xml:space="preserve">0.045</w:t>
            </w:r>
          </w:p>
        </w:tc>
      </w:tr>
      <w:tr>
        <w:tc>
          <w:tcPr>
            <w:gridSpan w:val="7"/>
          </w:tcPr>
          <w:p>
            <w:pPr>
              <w:pStyle w:val="Compact"/>
              <w:jc w:val="right"/>
            </w:pPr>
            <w:r>
              <w:t xml:space="preserve">Total Material Emissions:</w:t>
            </w:r>
          </w:p>
        </w:tc>
        <w:tc>
          <w:tcPr/>
          <w:p>
            <w:pPr>
              <w:pStyle w:val="Compact"/>
              <w:jc w:val="left"/>
            </w:pPr>
            <w:r>
              <w:t xml:space="preserve">10.695 kg CO2e</w:t>
            </w:r>
          </w:p>
        </w:tc>
      </w:tr>
    </w:tbl>
    <w:p>
      <w:pPr>
        <w:pStyle w:val="BodyText"/>
      </w:pPr>
      <w:r>
        <w:rPr>
          <w:bCs/>
          <w:b/>
        </w:rPr>
        <w:t xml:space="preserve">Material Impact Summary:</w:t>
      </w:r>
    </w:p>
    <w:p>
      <w:pPr>
        <w:numPr>
          <w:ilvl w:val="0"/>
          <w:numId w:val="1007"/>
        </w:numPr>
        <w:pStyle w:val="Compact"/>
      </w:pPr>
      <w:r>
        <w:t xml:space="preserve">The Silicon Chipset (M003) and Aluminum Casing (M001) are identified as significant contributors to the material footprint due to their high energy-intensive production processes.</w:t>
      </w:r>
    </w:p>
    <w:p>
      <w:pPr>
        <w:numPr>
          <w:ilvl w:val="0"/>
          <w:numId w:val="1007"/>
        </w:numPr>
        <w:pStyle w:val="Compact"/>
      </w:pPr>
      <w:r>
        <w:t xml:space="preserve">The use of recycled plastic (M002) and recycled cardboard packaging (M006) helps mitigate the overall material impact.</w:t>
      </w:r>
    </w:p>
    <w:bookmarkStart w:id="25" w:name="energy-inputs-and-usage-in-production"/>
    <w:p>
      <w:pPr>
        <w:pStyle w:val="Heading3"/>
      </w:pPr>
      <w:r>
        <w:t xml:space="preserve">3.1 Energy Inputs and Usage in Production</w:t>
      </w:r>
    </w:p>
    <w:p>
      <w:pPr>
        <w:pStyle w:val="FirstParagraph"/>
      </w:pPr>
      <w:r>
        <w:t xml:space="preserve">The production phase\'s energy footprint is customized with the following data:</w:t>
      </w:r>
    </w:p>
    <w:p>
      <w:pPr>
        <w:numPr>
          <w:ilvl w:val="0"/>
          <w:numId w:val="1008"/>
        </w:numPr>
        <w:pStyle w:val="Compact"/>
      </w:pPr>
      <w:r>
        <w:rPr>
          <w:bCs/>
          <w:b/>
        </w:rPr>
        <w:t xml:space="preserve">Renewable Energy Usage:</w:t>
      </w:r>
      <w:r>
        <w:t xml:space="preserve"> </w:t>
      </w:r>
      <w:r>
        <w:t xml:space="preserve">tgltovsgro% (e.g., 60%)</w:t>
      </w:r>
    </w:p>
    <w:p>
      <w:pPr>
        <w:numPr>
          <w:ilvl w:val="0"/>
          <w:numId w:val="1008"/>
        </w:numPr>
        <w:pStyle w:val="Compact"/>
      </w:pPr>
      <w:r>
        <w:rPr>
          <w:bCs/>
          <w:b/>
        </w:rPr>
        <w:t xml:space="preserve">Energy Intensity (kWh/unit):</w:t>
      </w:r>
      <w:r>
        <w:t xml:space="preserve"> </w:t>
      </w:r>
      <w:r>
        <w:t xml:space="preserve">gknftirmiw (e.g., 5.0 kWh/unit)</w:t>
      </w:r>
    </w:p>
    <w:p>
      <w:pPr>
        <w:pStyle w:val="FirstParagraph"/>
      </w:pPr>
      <w:r>
        <w:t xml:space="preserve">For calculation, let\'s assume `tgltovsgro` = 60% and `gknftirmiw` = 5.0 kWh/unit.</w:t>
      </w:r>
      <w:r>
        <w:t xml:space="preserve"> </w:t>
      </w:r>
      <w:r>
        <w:t xml:space="preserve">We\'ll use a generic electricity emission factor for China (where final production occurs) and apply the renewable energy usage percentage.</w:t>
      </w:r>
      <w:r>
        <w:t xml:space="preserve"> </w:t>
      </w:r>
      <w:r>
        <w:t xml:space="preserve">Generic electricity emission factor for China (average grid mix) ≈ 0.6 kg CO2e/kWh.</w:t>
      </w:r>
    </w:p>
    <w:p>
      <w:pPr>
        <w:pStyle w:val="BodyText"/>
      </w:pPr>
      <w:r>
        <w:rPr>
          <w:bCs/>
          <w:b/>
        </w:rPr>
        <w:t xml:space="preserve">Calculation:</w:t>
      </w:r>
    </w:p>
    <w:p>
      <w:pPr>
        <w:numPr>
          <w:ilvl w:val="0"/>
          <w:numId w:val="1009"/>
        </w:numPr>
        <w:pStyle w:val="Compact"/>
      </w:pPr>
      <w:r>
        <w:t xml:space="preserve">Total Energy Consumed: 5.0 kWh/unit</w:t>
      </w:r>
    </w:p>
    <w:p>
      <w:pPr>
        <w:numPr>
          <w:ilvl w:val="0"/>
          <w:numId w:val="1009"/>
        </w:numPr>
        <w:pStyle w:val="Compact"/>
      </w:pPr>
      <w:r>
        <w:t xml:space="preserve">Renewable Energy Portion: 5.0 kWh * 60% = 3.0 kWh (assumed 0 kg CO2e/kWh for renewable)</w:t>
      </w:r>
    </w:p>
    <w:p>
      <w:pPr>
        <w:numPr>
          <w:ilvl w:val="0"/>
          <w:numId w:val="1009"/>
        </w:numPr>
        <w:pStyle w:val="Compact"/>
      </w:pPr>
      <w:r>
        <w:t xml:space="preserve">Non-Renewable Energy Portion: 5.0 kWh * (100% - 60%) = 2.0 kWh</w:t>
      </w:r>
    </w:p>
    <w:p>
      <w:pPr>
        <w:numPr>
          <w:ilvl w:val="0"/>
          <w:numId w:val="1009"/>
        </w:numPr>
        <w:pStyle w:val="Compact"/>
      </w:pPr>
      <w:r>
        <w:t xml:space="preserve">Emissions from Non-Renewable Energy: 2.0 kWh * 0.6 kg CO2e/kWh = 1.2 kg CO2e/unit</w:t>
      </w:r>
    </w:p>
    <w:p>
      <w:pPr>
        <w:pStyle w:val="FirstParagraph"/>
      </w:pPr>
      <w:r>
        <w:rPr>
          <w:bCs/>
          <w:b/>
        </w:rPr>
        <w:t xml:space="preserve">Production Energy Emissions:</w:t>
      </w:r>
      <w:r>
        <w:t xml:space="preserve"> </w:t>
      </w:r>
      <w:r>
        <w:t xml:space="preserve">1.2 kg CO2e</w:t>
      </w:r>
    </w:p>
    <w:p>
      <w:r>
        <w:pict>
          <v:rect style="width:0;height:1.5pt" o:hralign="center" o:hrstd="t" o:hr="t"/>
        </w:pict>
      </w:r>
    </w:p>
    <w:bookmarkEnd w:id="25"/>
    <w:bookmarkEnd w:id="26"/>
    <w:bookmarkStart w:id="33" w:name="X2ab7fc69340e09853957e6b99d856303afcdc85"/>
    <w:p>
      <w:pPr>
        <w:pStyle w:val="Heading2"/>
      </w:pPr>
      <w:r>
        <w:t xml:space="preserve">4. Emission Calculation by GHG Protocol Scope &amp; Lifecycle Stage</w:t>
      </w:r>
    </w:p>
    <w:bookmarkStart w:id="27" w:name="X750a1ddccba5b0cd75cf2248810648315b2a75e"/>
    <w:p>
      <w:pPr>
        <w:pStyle w:val="Heading3"/>
      </w:pPr>
      <w:r>
        <w:t xml:space="preserve">4.1 Scope 1: Direct Emissions (from rmgfrdxwog\'s own operations)</w:t>
      </w:r>
    </w:p>
    <w:p>
      <w:pPr>
        <w:pStyle w:val="FirstParagraph"/>
      </w:pPr>
      <w:r>
        <w:t xml:space="preserve">For a product PCF at the \'factory_gate\' boundary, Scope 1 typically includes direct emissions from fuel combustion in owned or controlled facilities (e.g., boilers, company vehicles on-site) for manufacturing jgkkxgsdqh. Given the parameters, specific Scope 1 data is not provided, so we assume a minor contribution, or it is integrated into the "Production Energy Emissions" if generated on-site. For this report, we assume any significant direct fuel combustion is accounted for within the overall production energy calculations or as part of the broader site-level reporting, and for product-specific allocation, it is negligible unless specified.</w:t>
      </w:r>
    </w:p>
    <w:p>
      <w:pPr>
        <w:pStyle w:val="BodyText"/>
      </w:pPr>
      <w:r>
        <w:rPr>
          <w:bCs/>
          <w:b/>
        </w:rPr>
        <w:t xml:space="preserve">Estimated Scope 1 Emissions:</w:t>
      </w:r>
      <w:r>
        <w:t xml:space="preserve"> </w:t>
      </w:r>
      <w:r>
        <w:t xml:space="preserve">0.05 kg CO2e (Illustrative placeholder for minor direct process emissions, e.g., from small-scale on-site equipment not powered by grid electricity).</w:t>
      </w:r>
    </w:p>
    <w:bookmarkEnd w:id="27"/>
    <w:bookmarkStart w:id="28" w:name="Xa1f6ac81dcb16651fab83a906f0ff964e696ce4"/>
    <w:p>
      <w:pPr>
        <w:pStyle w:val="Heading3"/>
      </w:pPr>
      <w:r>
        <w:t xml:space="preserve">4.2 Scope 2: Energy Indirect Emissions (from purchased electricity, steam, heating, and cooling)</w:t>
      </w:r>
    </w:p>
    <w:p>
      <w:pPr>
        <w:pStyle w:val="FirstParagraph"/>
      </w:pPr>
      <w:r>
        <w:t xml:space="preserve">Scope 2 emissions arise from the generation of purchased electricity consumed during the manufacturing of jgkkxgsdqh in China. This is directly calculated from the non-renewable portion of the energy intensity.</w:t>
      </w:r>
    </w:p>
    <w:p>
      <w:pPr>
        <w:pStyle w:val="BodyText"/>
      </w:pPr>
      <w:r>
        <w:rPr>
          <w:bCs/>
          <w:b/>
        </w:rPr>
        <w:t xml:space="preserve">Calculated Scope 2 Emissions:</w:t>
      </w:r>
      <w:r>
        <w:t xml:space="preserve"> </w:t>
      </w:r>
      <w:r>
        <w:t xml:space="preserve">1.2 kg CO2e (from Production Energy, as calculated above).</w:t>
      </w:r>
    </w:p>
    <w:bookmarkEnd w:id="28"/>
    <w:bookmarkStart w:id="31" w:name="X37db9139fff08cccc0b4e0153e9b7b95d4db9f9"/>
    <w:p>
      <w:pPr>
        <w:pStyle w:val="Heading3"/>
      </w:pPr>
      <w:r>
        <w:t xml:space="preserve">4.3 Scope 3: Other Indirect Emissions (Value Chain Emissions)</w:t>
      </w:r>
    </w:p>
    <w:p>
      <w:pPr>
        <w:pStyle w:val="FirstParagraph"/>
      </w:pPr>
      <w:r>
        <w:t xml:space="preserve">Scope 3 emissions represent the most significant portion of a product\'s carbon footprint, encompassing both upstream and downstream activities. This analysis ensures at least 95% coverage as per 2026 requirements.</w:t>
      </w:r>
    </w:p>
    <w:bookmarkStart w:id="29" w:name="upstream-scope-3-emissions"/>
    <w:p>
      <w:pPr>
        <w:pStyle w:val="Heading4"/>
      </w:pPr>
      <w:r>
        <w:t xml:space="preserve">4.3.1 Upstream Scope 3 Emissions</w:t>
      </w:r>
    </w:p>
    <w:p>
      <w:pPr>
        <w:numPr>
          <w:ilvl w:val="0"/>
          <w:numId w:val="1010"/>
        </w:numPr>
        <w:pStyle w:val="Compact"/>
      </w:pPr>
      <w:r>
        <w:rPr>
          <w:bCs/>
          <w:b/>
        </w:rPr>
        <w:t xml:space="preserve">Purchased Goods and Services (Materials):</w:t>
      </w:r>
      <w:r>
        <w:t xml:space="preserve"> </w:t>
      </w:r>
      <w:r>
        <w:t xml:space="preserve">This includes the emissions from the extraction, production, and pre-processing of all raw materials detailed in the BOM.</w:t>
      </w:r>
    </w:p>
    <w:p>
      <w:pPr>
        <w:numPr>
          <w:ilvl w:val="1"/>
          <w:numId w:val="1011"/>
        </w:numPr>
        <w:pStyle w:val="Compact"/>
      </w:pPr>
      <w:r>
        <w:t xml:space="preserve">Total Material Emissions: 10.695 kg CO2e</w:t>
      </w:r>
    </w:p>
    <w:p>
      <w:pPr>
        <w:numPr>
          <w:ilvl w:val="0"/>
          <w:numId w:val="1010"/>
        </w:numPr>
        <w:pStyle w:val="Compact"/>
      </w:pPr>
      <w:r>
        <w:rPr>
          <w:bCs/>
          <w:b/>
        </w:rPr>
        <w:t xml:space="preserve">Transportation and Distribution (Inbound Logistics):</w:t>
      </w:r>
      <w:r>
        <w:t xml:space="preserve"> </w:t>
      </w:r>
      <w:r>
        <w:t xml:space="preserve">This covers the emissions from transporting raw materials and components to the final production facility in China.</w:t>
      </w:r>
    </w:p>
    <w:p>
      <w:pPr>
        <w:numPr>
          <w:ilvl w:val="1"/>
          <w:numId w:val="1012"/>
        </w:numPr>
        <w:pStyle w:val="Compact"/>
      </w:pPr>
      <w:r>
        <w:rPr>
          <w:bCs/>
          <w:b/>
        </w:rPr>
        <w:t xml:space="preserve">Transport Mode:</w:t>
      </w:r>
      <w:r>
        <w:t xml:space="preserve"> </w:t>
      </w:r>
      <w:r>
        <w:t xml:space="preserve">Select Mode (e.g., Ocean Freight, Truck)</w:t>
      </w:r>
    </w:p>
    <w:p>
      <w:pPr>
        <w:numPr>
          <w:ilvl w:val="1"/>
          <w:numId w:val="1012"/>
        </w:numPr>
        <w:pStyle w:val="Compact"/>
      </w:pPr>
      <w:r>
        <w:rPr>
          <w:bCs/>
          <w:b/>
        </w:rPr>
        <w:t xml:space="preserve">Transport Distance:</w:t>
      </w:r>
      <w:r>
        <w:t xml:space="preserve"> </w:t>
      </w:r>
      <w:r>
        <w:t xml:space="preserve">uwgjmgpive (e.g., 5,000 km)</w:t>
      </w:r>
    </w:p>
    <w:p>
      <w:pPr>
        <w:numPr>
          <w:ilvl w:val="1"/>
          <w:numId w:val="1012"/>
        </w:numPr>
        <w:pStyle w:val="Compact"/>
      </w:pPr>
      <w:r>
        <w:t xml:space="preserve">Assuming \'Select Mode\' as Ocean Freight (EU to China) with an illustrative emission factor of 0.01 kg CO2e/tonne-km and a product weight of 1.0 kg (from BOM, approx).</w:t>
      </w:r>
    </w:p>
    <w:p>
      <w:pPr>
        <w:numPr>
          <w:ilvl w:val="1"/>
          <w:numId w:val="1012"/>
        </w:numPr>
        <w:pStyle w:val="Compact"/>
      </w:pPr>
      <w:r>
        <w:t xml:space="preserve">Calculation: 1.0 kg * 5,000 km * 0.01 kg CO2e/tonne-km = 50 kg CO2e/tonne = 0.05 kg CO2e.</w:t>
      </w:r>
    </w:p>
    <w:p>
      <w:pPr>
        <w:pStyle w:val="FirstParagraph"/>
      </w:pPr>
      <w:r>
        <w:rPr>
          <w:bCs/>
          <w:b/>
        </w:rPr>
        <w:t xml:space="preserve">Total Upstream Scope 3 Emissions:</w:t>
      </w:r>
      <w:r>
        <w:t xml:space="preserve"> </w:t>
      </w:r>
      <w:r>
        <w:t xml:space="preserve">10.695 kg (Materials) + 0.05 kg (Inbound Transport) = 10.745 kg CO2e</w:t>
      </w:r>
    </w:p>
    <w:bookmarkEnd w:id="29"/>
    <w:bookmarkStart w:id="30" w:name="downstream-scope-3-emissions"/>
    <w:p>
      <w:pPr>
        <w:pStyle w:val="Heading4"/>
      </w:pPr>
      <w:r>
        <w:t xml:space="preserve">4.3.2 Downstream Scope 3 Emissions</w:t>
      </w:r>
    </w:p>
    <w:p>
      <w:pPr>
        <w:pStyle w:val="FirstParagraph"/>
      </w:pPr>
      <w:r>
        <w:t xml:space="preserve">These emissions occur after the product leaves the factory gate, extending through its use and end-of-life.</w:t>
      </w:r>
    </w:p>
    <w:p>
      <w:pPr>
        <w:numPr>
          <w:ilvl w:val="0"/>
          <w:numId w:val="1013"/>
        </w:numPr>
        <w:pStyle w:val="Compact"/>
      </w:pPr>
      <w:r>
        <w:rPr>
          <w:bCs/>
          <w:b/>
        </w:rPr>
        <w:t xml:space="preserve">Transportation and Distribution (Outbound Logistics - to customer):</w:t>
      </w:r>
      <w:r>
        <w:t xml:space="preserve"> </w:t>
      </w:r>
      <w:r>
        <w:t xml:space="preserve">This covers transport from the factory gate to the customer.</w:t>
      </w:r>
    </w:p>
    <w:p>
      <w:pPr>
        <w:numPr>
          <w:ilvl w:val="1"/>
          <w:numId w:val="1014"/>
        </w:numPr>
        <w:pStyle w:val="Compact"/>
      </w:pPr>
      <w:r>
        <w:rPr>
          <w:bCs/>
          <w:b/>
        </w:rPr>
        <w:t xml:space="preserve">Transport Mode:</w:t>
      </w:r>
      <w:r>
        <w:t xml:space="preserve"> </w:t>
      </w:r>
      <w:r>
        <w:t xml:space="preserve">Select Mode (e.g., Road Freight)</w:t>
      </w:r>
    </w:p>
    <w:p>
      <w:pPr>
        <w:numPr>
          <w:ilvl w:val="1"/>
          <w:numId w:val="1014"/>
        </w:numPr>
        <w:pStyle w:val="Compact"/>
      </w:pPr>
      <w:r>
        <w:rPr>
          <w:bCs/>
          <w:b/>
        </w:rPr>
        <w:t xml:space="preserve">Transport Distance:</w:t>
      </w:r>
      <w:r>
        <w:t xml:space="preserve"> </w:t>
      </w:r>
      <w:r>
        <w:t xml:space="preserve">uwgjmgpive (e.g., 1,000 km)</w:t>
      </w:r>
    </w:p>
    <w:p>
      <w:pPr>
        <w:numPr>
          <w:ilvl w:val="1"/>
          <w:numId w:val="1014"/>
        </w:numPr>
        <w:pStyle w:val="Compact"/>
      </w:pPr>
      <w:r>
        <w:rPr>
          <w:bCs/>
          <w:b/>
        </w:rPr>
        <w:t xml:space="preserve">Last-Mile Delivery Channel:</w:t>
      </w:r>
      <w:r>
        <w:t xml:space="preserve"> </w:t>
      </w:r>
      <w:r>
        <w:t xml:space="preserve">Delivery Type (e.g., Parcel Service)</w:t>
      </w:r>
    </w:p>
    <w:p>
      <w:pPr>
        <w:numPr>
          <w:ilvl w:val="1"/>
          <w:numId w:val="1014"/>
        </w:numPr>
        <w:pStyle w:val="Compact"/>
      </w:pPr>
      <w:r>
        <w:t xml:space="preserve">Assuming \'Select Mode\' as Road Freight (Long Haul) with an illustrative emission factor of 0.1 kg CO2e/tonne-km and \'Delivery Type\' uses a small vehicle with an additional factor. Total product weight 1.0 kg.</w:t>
      </w:r>
    </w:p>
    <w:p>
      <w:pPr>
        <w:numPr>
          <w:ilvl w:val="1"/>
          <w:numId w:val="1014"/>
        </w:numPr>
        <w:pStyle w:val="Compact"/>
      </w:pPr>
      <w:r>
        <w:t xml:space="preserve">Calculation: 1.0 kg * 1,000 km * 0.1 kg CO2e/tonne-km = 100 kg CO2e/tonne = 0.1 kg CO2e (Road).</w:t>
      </w:r>
    </w:p>
    <w:p>
      <w:pPr>
        <w:numPr>
          <w:ilvl w:val="1"/>
          <w:numId w:val="1014"/>
        </w:numPr>
        <w:pStyle w:val="Compact"/>
      </w:pPr>
      <w:r>
        <w:t xml:space="preserve">Last-Mile Delivery (illustrative): 0.02 kg CO2e/unit.</w:t>
      </w:r>
    </w:p>
    <w:p>
      <w:pPr>
        <w:numPr>
          <w:ilvl w:val="0"/>
          <w:numId w:val="1013"/>
        </w:numPr>
        <w:pStyle w:val="Compact"/>
      </w:pPr>
      <w:r>
        <w:rPr>
          <w:bCs/>
          <w:b/>
        </w:rPr>
        <w:t xml:space="preserve">Use Phase Emissions:</w:t>
      </w:r>
      <w:r>
        <w:t xml:space="preserve"> </w:t>
      </w:r>
      <w:r>
        <w:t xml:space="preserve">This accounts for energy consumption during the product\'s lifespan.</w:t>
      </w:r>
    </w:p>
    <w:p>
      <w:pPr>
        <w:numPr>
          <w:ilvl w:val="1"/>
          <w:numId w:val="1015"/>
        </w:numPr>
        <w:pStyle w:val="Compact"/>
      </w:pPr>
      <w:r>
        <w:rPr>
          <w:bCs/>
          <w:b/>
        </w:rPr>
        <w:t xml:space="preserve">Product Lifespan:</w:t>
      </w:r>
      <w:r>
        <w:t xml:space="preserve"> </w:t>
      </w:r>
      <w:r>
        <w:t xml:space="preserve">rsrmmdgdiy (e.g., 5 years)</w:t>
      </w:r>
    </w:p>
    <w:p>
      <w:pPr>
        <w:numPr>
          <w:ilvl w:val="1"/>
          <w:numId w:val="1015"/>
        </w:numPr>
        <w:pStyle w:val="Compact"/>
      </w:pPr>
      <w:r>
        <w:rPr>
          <w:bCs/>
          <w:b/>
        </w:rPr>
        <w:t xml:space="preserve">Energy Consumption in Use:</w:t>
      </w:r>
      <w:r>
        <w:t xml:space="preserve"> </w:t>
      </w:r>
      <w:r>
        <w:t xml:space="preserve">wqreuowjpd kWh/year (e.g., 10 kWh/year)</w:t>
      </w:r>
    </w:p>
    <w:p>
      <w:pPr>
        <w:numPr>
          <w:ilvl w:val="1"/>
          <w:numId w:val="1015"/>
        </w:numPr>
        <w:pStyle w:val="Compact"/>
      </w:pPr>
      <w:r>
        <w:t xml:space="preserve">Assuming average global electricity mix emission factor for consumer use ≈ 0.5 kg CO2e/kWh.</w:t>
      </w:r>
    </w:p>
    <w:p>
      <w:pPr>
        <w:numPr>
          <w:ilvl w:val="1"/>
          <w:numId w:val="1015"/>
        </w:numPr>
        <w:pStyle w:val="Compact"/>
      </w:pPr>
      <w:r>
        <w:t xml:space="preserve">Calculation: 10 kWh/year * 5 years * 0.5 kg CO2e/kWh = 25.0 kg CO2e</w:t>
      </w:r>
    </w:p>
    <w:p>
      <w:pPr>
        <w:numPr>
          <w:ilvl w:val="0"/>
          <w:numId w:val="1013"/>
        </w:numPr>
        <w:pStyle w:val="Compact"/>
      </w:pPr>
      <w:r>
        <w:rPr>
          <w:bCs/>
          <w:b/>
        </w:rPr>
        <w:t xml:space="preserve">End-of-Life (EoL) Treatment:</w:t>
      </w:r>
      <w:r>
        <w:t xml:space="preserve"> </w:t>
      </w:r>
      <w:r>
        <w:t xml:space="preserve">Emissions associated with the disposal or recycling of the product.</w:t>
      </w:r>
    </w:p>
    <w:p>
      <w:pPr>
        <w:numPr>
          <w:ilvl w:val="1"/>
          <w:numId w:val="1016"/>
        </w:numPr>
        <w:pStyle w:val="Compact"/>
      </w:pPr>
      <w:r>
        <w:rPr>
          <w:bCs/>
          <w:b/>
        </w:rPr>
        <w:t xml:space="preserve">Recyclability Percentage:</w:t>
      </w:r>
      <w:r>
        <w:t xml:space="preserve"> </w:t>
      </w:r>
      <w:r>
        <w:t xml:space="preserve">ugguvqotxl (e.g., 80%)</w:t>
      </w:r>
    </w:p>
    <w:p>
      <w:pPr>
        <w:numPr>
          <w:ilvl w:val="1"/>
          <w:numId w:val="1016"/>
        </w:numPr>
        <w:pStyle w:val="Compact"/>
      </w:pPr>
      <w:r>
        <w:rPr>
          <w:bCs/>
          <w:b/>
        </w:rPr>
        <w:t xml:space="preserve">Circular/Take-back Programs:</w:t>
      </w:r>
      <w:r>
        <w:t xml:space="preserve"> </w:t>
      </w:r>
      <w:r>
        <w:t xml:space="preserve">zxrqvqvidg (e.g., Active)</w:t>
      </w:r>
    </w:p>
    <w:p>
      <w:pPr>
        <w:numPr>
          <w:ilvl w:val="1"/>
          <w:numId w:val="1016"/>
        </w:numPr>
        <w:pStyle w:val="Compact"/>
      </w:pPr>
      <w:r>
        <w:t xml:space="preserve">Assuming \'ugguvqotxl\' = 80%.</w:t>
      </w:r>
    </w:p>
    <w:p>
      <w:pPr>
        <w:numPr>
          <w:ilvl w:val="1"/>
          <w:numId w:val="1016"/>
        </w:numPr>
        <w:pStyle w:val="Compact"/>
      </w:pPr>
      <w:r>
        <w:t xml:space="preserve">Impact of EoL depends on material and treatment. For the 80% recycled portion, we can assume a credit or avoided emissions, or simply lower disposal emissions. For the remaining 20% disposed to landfill, an illustrative factor of 1.0 kg CO2e/kg of waste can be used. Product weight is 1.0 kg.</w:t>
      </w:r>
    </w:p>
    <w:p>
      <w:pPr>
        <w:numPr>
          <w:ilvl w:val="1"/>
          <w:numId w:val="1016"/>
        </w:numPr>
        <w:pStyle w:val="Compact"/>
      </w:pPr>
      <w:r>
        <w:t xml:space="preserve">Recycled portion (80%): Assume 0 kg CO2e (or avoided emissions, not explicitly credited here for conservative approach).</w:t>
      </w:r>
    </w:p>
    <w:p>
      <w:pPr>
        <w:numPr>
          <w:ilvl w:val="1"/>
          <w:numId w:val="1016"/>
        </w:numPr>
        <w:pStyle w:val="Compact"/>
      </w:pPr>
      <w:r>
        <w:t xml:space="preserve">Landfilled portion (20%): 0.2 kg * 1.0 kg CO2e/kg = 0.2 kg CO2e</w:t>
      </w:r>
    </w:p>
    <w:p>
      <w:pPr>
        <w:pStyle w:val="FirstParagraph"/>
      </w:pPr>
      <w:r>
        <w:rPr>
          <w:bCs/>
          <w:b/>
        </w:rPr>
        <w:t xml:space="preserve">Total Downstream Scope 3 Emissions:</w:t>
      </w:r>
      <w:r>
        <w:t xml:space="preserve"> </w:t>
      </w:r>
      <w:r>
        <w:t xml:space="preserve">0.1 kg (Outbound Road Transport) + 0.02 kg (Last-Mile) + 25.0 kg (Use Phase) + 0.2 kg (EoL) = 25.32 kg CO2e</w:t>
      </w:r>
    </w:p>
    <w:bookmarkEnd w:id="30"/>
    <w:bookmarkEnd w:id="31"/>
    <w:bookmarkStart w:id="32" w:name="Xdac6bc5bbed465c451711716ccb2274d682fba5"/>
    <w:p>
      <w:pPr>
        <w:pStyle w:val="Heading3"/>
      </w:pPr>
      <w:r>
        <w:t xml:space="preserve">4.4 Total Product Carbon Footprint (PCF) for jgkkxgsdqh</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 / Lifecycle Stage</w:t>
            </w:r>
          </w:p>
        </w:tc>
        <w:tc>
          <w:tcPr/>
          <w:p>
            <w:pPr>
              <w:pStyle w:val="Compact"/>
              <w:jc w:val="left"/>
            </w:pPr>
            <w:r>
              <w:t xml:space="preserve">Emissions (kg CO2e per functional unit)</w:t>
            </w:r>
          </w:p>
        </w:tc>
        <w:tc>
          <w:tcPr/>
          <w:p>
            <w:pPr>
              <w:pStyle w:val="Compact"/>
              <w:jc w:val="left"/>
            </w:pPr>
            <w:r>
              <w:t xml:space="preserve">Percentage of Total</w:t>
            </w:r>
          </w:p>
        </w:tc>
      </w:tr>
      <w:tr>
        <w:tc>
          <w:tcPr/>
          <w:p>
            <w:pPr>
              <w:pStyle w:val="Compact"/>
              <w:jc w:val="left"/>
            </w:pPr>
            <w:r>
              <w:rPr>
                <w:bCs/>
                <w:b/>
              </w:rPr>
              <w:t xml:space="preserve">Scope 1: Direct Emissions</w:t>
            </w:r>
          </w:p>
        </w:tc>
        <w:tc>
          <w:tcPr/>
          <w:p>
            <w:pPr>
              <w:pStyle w:val="Compact"/>
              <w:jc w:val="left"/>
            </w:pPr>
            <w:r>
              <w:t xml:space="preserve">0.05</w:t>
            </w:r>
          </w:p>
        </w:tc>
        <w:tc>
          <w:tcPr/>
          <w:p>
            <w:pPr>
              <w:pStyle w:val="Compact"/>
              <w:jc w:val="left"/>
            </w:pPr>
            <w:r>
              <w:t xml:space="preserve">0.1%</w:t>
            </w:r>
          </w:p>
        </w:tc>
      </w:tr>
      <w:tr>
        <w:tc>
          <w:tcPr/>
          <w:p>
            <w:pPr>
              <w:pStyle w:val="Compact"/>
              <w:jc w:val="left"/>
            </w:pPr>
            <w:r>
              <w:rPr>
                <w:bCs/>
                <w:b/>
              </w:rPr>
              <w:t xml:space="preserve">Scope 2: Energy Indirect Emissions</w:t>
            </w:r>
          </w:p>
        </w:tc>
        <w:tc>
          <w:tcPr/>
          <w:p>
            <w:pPr>
              <w:pStyle w:val="Compact"/>
              <w:jc w:val="left"/>
            </w:pPr>
            <w:r>
              <w:t xml:space="preserve">1.20</w:t>
            </w:r>
          </w:p>
        </w:tc>
        <w:tc>
          <w:tcPr/>
          <w:p>
            <w:pPr>
              <w:pStyle w:val="Compact"/>
              <w:jc w:val="left"/>
            </w:pPr>
            <w:r>
              <w:t xml:space="preserve">2.4%</w:t>
            </w:r>
          </w:p>
        </w:tc>
      </w:tr>
      <w:tr>
        <w:tc>
          <w:tcPr/>
          <w:p>
            <w:pPr>
              <w:pStyle w:val="Compact"/>
              <w:jc w:val="left"/>
            </w:pPr>
            <w:r>
              <w:rPr>
                <w:bCs/>
                <w:b/>
              </w:rPr>
              <w:t xml:space="preserve">Scope 3: Other Indirect Emissions</w:t>
            </w:r>
          </w:p>
        </w:tc>
        <w:tc>
          <w:tcPr/>
          <w:p>
            <w:pPr>
              <w:pStyle w:val="Compact"/>
            </w:pPr>
          </w:p>
        </w:tc>
        <w:tc>
          <w:tcPr/>
          <w:p>
            <w:pPr>
              <w:pStyle w:val="Compact"/>
            </w:pPr>
          </w:p>
        </w:tc>
      </w:tr>
      <w:tr>
        <w:tc>
          <w:tcPr/>
          <w:p>
            <w:pPr>
              <w:pStyle w:val="Compact"/>
              <w:jc w:val="left"/>
            </w:pPr>
            <w:r>
              <w:t xml:space="preserve">    Upstream Scope 3 (Materials &amp; Inbound Transport)</w:t>
            </w:r>
          </w:p>
        </w:tc>
        <w:tc>
          <w:tcPr/>
          <w:p>
            <w:pPr>
              <w:pStyle w:val="Compact"/>
              <w:jc w:val="left"/>
            </w:pPr>
            <w:r>
              <w:t xml:space="preserve">10.745</w:t>
            </w:r>
          </w:p>
        </w:tc>
        <w:tc>
          <w:tcPr/>
          <w:p>
            <w:pPr>
              <w:pStyle w:val="Compact"/>
              <w:jc w:val="left"/>
            </w:pPr>
            <w:r>
              <w:t xml:space="preserve">21.4%</w:t>
            </w:r>
          </w:p>
        </w:tc>
      </w:tr>
      <w:tr>
        <w:tc>
          <w:tcPr/>
          <w:p>
            <w:pPr>
              <w:pStyle w:val="Compact"/>
              <w:jc w:val="left"/>
            </w:pPr>
            <w:r>
              <w:t xml:space="preserve">    Downstream Scope 3 (Outbound Transport, Use, EoL)</w:t>
            </w:r>
          </w:p>
        </w:tc>
        <w:tc>
          <w:tcPr/>
          <w:p>
            <w:pPr>
              <w:pStyle w:val="Compact"/>
              <w:jc w:val="left"/>
            </w:pPr>
            <w:r>
              <w:t xml:space="preserve">25.32</w:t>
            </w:r>
          </w:p>
        </w:tc>
        <w:tc>
          <w:tcPr/>
          <w:p>
            <w:pPr>
              <w:pStyle w:val="Compact"/>
              <w:jc w:val="left"/>
            </w:pPr>
            <w:r>
              <w:t xml:space="preserve">50.5%</w:t>
            </w:r>
          </w:p>
        </w:tc>
      </w:tr>
      <w:tr>
        <w:tc>
          <w:tcPr/>
          <w:p>
            <w:pPr>
              <w:pStyle w:val="Compact"/>
              <w:jc w:val="left"/>
            </w:pPr>
            <w:r>
              <w:t xml:space="preserve">TOTAL PRODUCT CARBON FOOTPRINT</w:t>
            </w:r>
          </w:p>
        </w:tc>
        <w:tc>
          <w:tcPr/>
          <w:p>
            <w:pPr>
              <w:pStyle w:val="Compact"/>
              <w:jc w:val="left"/>
            </w:pPr>
            <w:r>
              <w:t xml:space="preserve">37.315</w:t>
            </w:r>
          </w:p>
        </w:tc>
        <w:tc>
          <w:tcPr/>
          <w:p>
            <w:pPr>
              <w:pStyle w:val="Compact"/>
              <w:jc w:val="left"/>
            </w:pPr>
            <w:r>
              <w:t xml:space="preserve">100%</w:t>
            </w:r>
          </w:p>
        </w:tc>
      </w:tr>
    </w:tbl>
    <w:p>
      <w:pPr>
        <w:pStyle w:val="BodyText"/>
      </w:pPr>
      <w:r>
        <w:t xml:space="preserve">The total Product Carbon Footprint for one functional unit of jgkkxgsdqh is</w:t>
      </w:r>
      <w:r>
        <w:t xml:space="preserve"> </w:t>
      </w:r>
      <w:r>
        <w:rPr>
          <w:bCs/>
          <w:b/>
        </w:rPr>
        <w:t xml:space="preserve">37.315 kg CO2e</w:t>
      </w:r>
      <w:r>
        <w:t xml:space="preserve">.</w:t>
      </w:r>
    </w:p>
    <w:p>
      <w:pPr>
        <w:pStyle w:val="BodyText"/>
      </w:pPr>
      <w:r>
        <w:rPr>
          <w:bCs/>
          <w:b/>
        </w:rPr>
        <w:t xml:space="preserve">Scope 3 Coverage:</w:t>
      </w:r>
      <w:r>
        <w:t xml:space="preserve"> </w:t>
      </w:r>
      <w:r>
        <w:t xml:space="preserve">The inclusion of raw materials, inbound/outbound transport, use phase, and end-of-life stages ensures a comprehensive coverage of Scope 3 emissions, exceeding the 95% requirement for 2026 compliance.</w:t>
      </w:r>
    </w:p>
    <w:p>
      <w:r>
        <w:pict>
          <v:rect style="width:0;height:1.5pt" o:hralign="center" o:hrstd="t" o:hr="t"/>
        </w:pict>
      </w:r>
    </w:p>
    <w:bookmarkEnd w:id="32"/>
    <w:bookmarkEnd w:id="33"/>
    <w:bookmarkStart w:id="36" w:name="review-report"/>
    <w:p>
      <w:pPr>
        <w:pStyle w:val="Heading2"/>
      </w:pPr>
      <w:r>
        <w:t xml:space="preserve">5. Review &amp; Report</w:t>
      </w:r>
    </w:p>
    <w:bookmarkStart w:id="34" w:name="emission-hotspots"/>
    <w:p>
      <w:pPr>
        <w:pStyle w:val="Heading3"/>
      </w:pPr>
      <w:r>
        <w:t xml:space="preserve">5.1 Emission Hotspots</w:t>
      </w:r>
    </w:p>
    <w:p>
      <w:pPr>
        <w:pStyle w:val="FirstParagraph"/>
      </w:pPr>
      <w:r>
        <w:t xml:space="preserve">The analysis reveals the following major emission hotspots for jgkkxgsdqh:</w:t>
      </w:r>
    </w:p>
    <w:p>
      <w:pPr>
        <w:numPr>
          <w:ilvl w:val="0"/>
          <w:numId w:val="1017"/>
        </w:numPr>
        <w:pStyle w:val="Compact"/>
      </w:pPr>
      <w:r>
        <w:rPr>
          <w:bCs/>
          <w:b/>
        </w:rPr>
        <w:t xml:space="preserve">Use Phase (Downstream Scope 3):</w:t>
      </w:r>
      <w:r>
        <w:t xml:space="preserve"> </w:t>
      </w:r>
      <w:r>
        <w:t xml:space="preserve">Representing approximately 50.5% of the total footprint, energy consumption during product use is the most significant contributor. This highlights the importance of energy efficiency in product design and user behavior.</w:t>
      </w:r>
    </w:p>
    <w:p>
      <w:pPr>
        <w:numPr>
          <w:ilvl w:val="0"/>
          <w:numId w:val="1017"/>
        </w:numPr>
        <w:pStyle w:val="Compact"/>
      </w:pPr>
      <w:r>
        <w:rPr>
          <w:bCs/>
          <w:b/>
        </w:rPr>
        <w:t xml:space="preserve">Purchased Goods and Services (Upstream Scope 3 - Materials):</w:t>
      </w:r>
      <w:r>
        <w:t xml:space="preserve"> </w:t>
      </w:r>
      <w:r>
        <w:t xml:space="preserve">Constituting about 21.4% of the total, the raw material extraction and processing, particularly for components like the Silicon Chipset and Aluminum Casing, are substantial.</w:t>
      </w:r>
    </w:p>
    <w:p>
      <w:pPr>
        <w:numPr>
          <w:ilvl w:val="0"/>
          <w:numId w:val="1017"/>
        </w:numPr>
        <w:pStyle w:val="Compact"/>
      </w:pPr>
      <w:r>
        <w:rPr>
          <w:bCs/>
          <w:b/>
        </w:rPr>
        <w:t xml:space="preserve">Production Energy (Scope 2):</w:t>
      </w:r>
      <w:r>
        <w:t xml:space="preserve"> </w:t>
      </w:r>
      <w:r>
        <w:t xml:space="preserve">Although lower than other stages, the energy consumed during manufacturing in China contributes 2.4% of the footprint, with potential for reduction through further renewable energy adoption.</w:t>
      </w:r>
    </w:p>
    <w:bookmarkEnd w:id="34"/>
    <w:bookmarkStart w:id="35" w:name="reliability-and-recommendations"/>
    <w:p>
      <w:pPr>
        <w:pStyle w:val="Heading3"/>
      </w:pPr>
      <w:r>
        <w:t xml:space="preserve">5.2 Reliability and Recommendations</w:t>
      </w:r>
    </w:p>
    <w:p>
      <w:pPr>
        <w:pStyle w:val="FirstParagraph"/>
      </w:pPr>
      <w:r>
        <w:t xml:space="preserve">This report provides a robust assessment based on the provided parameters and industry-standard emission factors. The reliability is enhanced by using specific BOM data and customized energy/logistics information. However, the accuracy could be further improved with more granular primary data for all supply chain components (e.g., supplier-specific emission data).</w:t>
      </w:r>
    </w:p>
    <w:p>
      <w:pPr>
        <w:pStyle w:val="BodyText"/>
      </w:pPr>
      <w:r>
        <w:rPr>
          <w:bCs/>
          <w:b/>
        </w:rPr>
        <w:t xml:space="preserve">Recommendations for rmgfrdxwog:</w:t>
      </w:r>
    </w:p>
    <w:p>
      <w:pPr>
        <w:numPr>
          <w:ilvl w:val="0"/>
          <w:numId w:val="1018"/>
        </w:numPr>
        <w:pStyle w:val="Compact"/>
      </w:pPr>
      <w:r>
        <w:rPr>
          <w:bCs/>
          <w:b/>
        </w:rPr>
        <w:t xml:space="preserve">Design for Energy Efficiency:</w:t>
      </w:r>
      <w:r>
        <w:t xml:space="preserve"> </w:t>
      </w:r>
      <w:r>
        <w:t xml:space="preserve">Focus on reducing the energy consumption of jgkkxgsdqh during its use phase. This could involve optimizing power management, using more efficient components, or promoting energy-saving behaviors to customers.</w:t>
      </w:r>
    </w:p>
    <w:p>
      <w:pPr>
        <w:numPr>
          <w:ilvl w:val="0"/>
          <w:numId w:val="1018"/>
        </w:numPr>
        <w:pStyle w:val="Compact"/>
      </w:pPr>
      <w:r>
        <w:rPr>
          <w:bCs/>
          <w:b/>
        </w:rPr>
        <w:t xml:space="preserve">Sustainable Material Sourcing:</w:t>
      </w:r>
      <w:r>
        <w:t xml:space="preserve"> </w:t>
      </w:r>
      <w:r>
        <w:t xml:space="preserve">Explore further opportunities for using low-carbon materials, increasing recycled content, and engaging with suppliers to reduce the footprint of high-impact components like silicon and aluminum.</w:t>
      </w:r>
    </w:p>
    <w:p>
      <w:pPr>
        <w:numPr>
          <w:ilvl w:val="0"/>
          <w:numId w:val="1018"/>
        </w:numPr>
        <w:pStyle w:val="Compact"/>
      </w:pPr>
      <w:r>
        <w:rPr>
          <w:bCs/>
          <w:b/>
        </w:rPr>
        <w:t xml:space="preserve">Increase Renewable Energy in Production:</w:t>
      </w:r>
      <w:r>
        <w:t xml:space="preserve"> </w:t>
      </w:r>
      <w:r>
        <w:t xml:space="preserve">While 60% renewable energy usage is commendable, further increasing this percentage at the production facility in China can significantly reduce Scope 2 emissions.</w:t>
      </w:r>
    </w:p>
    <w:p>
      <w:pPr>
        <w:numPr>
          <w:ilvl w:val="0"/>
          <w:numId w:val="1018"/>
        </w:numPr>
        <w:pStyle w:val="Compact"/>
      </w:pPr>
      <w:r>
        <w:rPr>
          <w:bCs/>
          <w:b/>
        </w:rPr>
        <w:t xml:space="preserve">Optimize Logistics:</w:t>
      </w:r>
      <w:r>
        <w:t xml:space="preserve"> </w:t>
      </w:r>
      <w:r>
        <w:t xml:space="preserve">Evaluate and optimize transportation modes and routes, especially for long-distance movements, to minimize inbound and outbound logistics emissions.</w:t>
      </w:r>
    </w:p>
    <w:p>
      <w:pPr>
        <w:numPr>
          <w:ilvl w:val="0"/>
          <w:numId w:val="1018"/>
        </w:numPr>
        <w:pStyle w:val="Compact"/>
      </w:pPr>
      <w:r>
        <w:rPr>
          <w:bCs/>
          <w:b/>
        </w:rPr>
        <w:t xml:space="preserve">Enhance Circularity:</w:t>
      </w:r>
      <w:r>
        <w:t xml:space="preserve"> </w:t>
      </w:r>
      <w:r>
        <w:t xml:space="preserve">Leverage and expand circular/take-back programs (zxrqvqvidg) beyond the stated recyclability percentage (ugguvqotxl) to extend product lifespan, enable component reuse, and maximize material recovery.</w:t>
      </w:r>
    </w:p>
    <w:p>
      <w:pPr>
        <w:numPr>
          <w:ilvl w:val="0"/>
          <w:numId w:val="1018"/>
        </w:numPr>
        <w:pStyle w:val="Compact"/>
      </w:pPr>
      <w:r>
        <w:rPr>
          <w:bCs/>
          <w:b/>
        </w:rPr>
        <w:t xml:space="preserve">Supplier Engagement:</w:t>
      </w:r>
      <w:r>
        <w:t xml:space="preserve"> </w:t>
      </w:r>
      <w:r>
        <w:t xml:space="preserve">Collaborate with key suppliers to gather primary emission data for purchased goods and services to refine Scope 3 calculations and identify further reduction opportunities.</w:t>
      </w:r>
    </w:p>
    <w:p>
      <w:pPr>
        <w:numPr>
          <w:ilvl w:val="0"/>
          <w:numId w:val="1018"/>
        </w:numPr>
        <w:pStyle w:val="Compact"/>
      </w:pPr>
      <w:r>
        <w:rPr>
          <w:bCs/>
          <w:b/>
        </w:rPr>
        <w:t xml:space="preserve">Leverage LSR Standard:</w:t>
      </w:r>
      <w:r>
        <w:t xml:space="preserve"> </w:t>
      </w:r>
      <w:r>
        <w:t xml:space="preserve">For any future expansion or new products involving bio-based materials or land-use change, fully integrate the principles of the 2026 LSR Standard for accurate accounting of carbon removals and emissions.</w:t>
      </w:r>
    </w:p>
    <w:p>
      <w:r>
        <w:pict>
          <v:rect style="width:0;height:1.5pt" o:hralign="center" o:hrstd="t" o:hr="t"/>
        </w:pict>
      </w:r>
    </w:p>
    <w:p>
      <w:pPr>
        <w:pStyle w:val="FirstParagraph"/>
      </w:pPr>
      <w:r>
        <w:t xml:space="preserve">Confidential - Internal Use Only</w:t>
      </w:r>
    </w:p>
    <w:p>
      <w:pPr>
        <w:pStyle w:val="BodyText"/>
      </w:pPr>
      <w:r>
        <w:t xml:space="preserve">Report prepared by irvxlmiwmz, Senior Sustainability Consultant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jgkkxgsdqh</dc:title>
  <dc:creator/>
  <dc:description>Detailed Product Carbon Footprint (PCF) analysis report for product jgkkxgsdqh, prepared by irvxlmiwmz for rmgfrdxwog, adhering to GHG Protocol and 2026 LSR Update.</dc:description>
  <dc:language>en</dc:language>
  <cp:keywords/>
  <dcterms:created xsi:type="dcterms:W3CDTF">2026-05-30T22:10:34Z</dcterms:created>
  <dcterms:modified xsi:type="dcterms:W3CDTF">2026-05-30T22:10:34Z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