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jfuxoiivgl</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jfuxoiivgl</w:t>
      </w:r>
    </w:p>
    <w:p>
      <w:pPr>
        <w:pStyle w:val="BodyText"/>
      </w:pPr>
      <w:r>
        <w:t xml:space="preserve">Protocol Data (Accounting Standard): GHG Protocol</w:t>
      </w:r>
    </w:p>
    <w:p>
      <w:pPr>
        <w:pStyle w:val="BodyText"/>
      </w:pPr>
      <w:r>
        <w:t xml:space="preserve">Name of the Company: pfihxfqyel</w:t>
      </w:r>
    </w:p>
    <w:p>
      <w:pPr>
        <w:pStyle w:val="BodyText"/>
      </w:pPr>
      <w:r>
        <w:t xml:space="preserve">Senior Sustainability Consultant: rooqvggvgf</w:t>
      </w:r>
    </w:p>
    <w:p>
      <w:pPr>
        <w:pStyle w:val="BodyText"/>
      </w:pPr>
      <w:r>
        <w:t xml:space="preserve">This report is generated based on available data and industry standards. While every effort has been made to ensure accuracy, the actual environmental impact may vary.</w:t>
      </w:r>
    </w:p>
    <w:bookmarkEnd w:id="20"/>
    <w:bookmarkStart w:id="21" w:name="product-carbon-footprint-analysis"/>
    <w:p>
      <w:pPr>
        <w:pStyle w:val="Heading1"/>
      </w:pPr>
      <w:r>
        <w:t xml:space="preserve">Product Carbon Footprint Analysis</w:t>
      </w:r>
    </w:p>
    <w:p>
      <w:pPr>
        <w:pStyle w:val="FirstParagraph"/>
      </w:pPr>
      <w:r>
        <w:t xml:space="preserve">Generated Date: June 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high-detail Product Carbon Footprint (PCF) analysis, conducted by rooqvggvgf, Senior Sustainability Consultant, for pfihxfqyel, quantifies the greenhouse gas (GHG) emissions associated with the product jfuxoiivgl. The analysis adheres strictly to the GHG Protocol and incorporates the latest 2026 Land Sector and Removals (LSR) Standard updates, ensuring comprehensive Scope 3 coverage of at least 95%. The total cradle-to-gate-plus-use-and-end-of-life carbon footprint for one functional unit of jfuxoiivgl is calculated to be</w:t>
      </w:r>
      <w:r>
        <w:t xml:space="preserve"> </w:t>
      </w:r>
      <w:r>
        <w:rPr>
          <w:bCs/>
          <w:b/>
        </w:rPr>
        <w:t xml:space="preserve">37.28 kg CO2e</w:t>
      </w:r>
      <w:r>
        <w:t xml:space="preserve">. Key emission hotspots have been identified, particularly within the Use Phase due to energy consumption, and in the upstream material acquisition.</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This PCF analysis establishes the boundaries and assumptions for quantifying the environmental impact of jfuxoiivgl.</w:t>
      </w:r>
    </w:p>
    <w:p>
      <w:pPr>
        <w:numPr>
          <w:ilvl w:val="0"/>
          <w:numId w:val="1001"/>
        </w:numPr>
        <w:pStyle w:val="Compact"/>
      </w:pPr>
      <w:r>
        <w:rPr>
          <w:bCs/>
          <w:b/>
        </w:rPr>
        <w:t xml:space="preserve">Functional Unit:</w:t>
      </w:r>
      <w:r>
        <w:t xml:space="preserve"> </w:t>
      </w:r>
      <w:r>
        <w:t xml:space="preserve">1.0 unit of jfuxoiivgl.</w:t>
      </w:r>
    </w:p>
    <w:p>
      <w:pPr>
        <w:numPr>
          <w:ilvl w:val="0"/>
          <w:numId w:val="1001"/>
        </w:numPr>
        <w:pStyle w:val="Compact"/>
      </w:pPr>
      <w:r>
        <w:rPr>
          <w:bCs/>
          <w:b/>
        </w:rPr>
        <w:t xml:space="preserve">System Boundary:</w:t>
      </w:r>
      <w:r>
        <w:t xml:space="preserve"> </w:t>
      </w:r>
      <w:r>
        <w:t xml:space="preserve">Cradle-to-grave, specifically \'factory_gate\' for production, extended with downstream transport, use phase, and end-of-life.</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(for downstream elements like use phase and end-of-life, and general transport considerations).</w:t>
      </w:r>
    </w:p>
    <w:p>
      <w:pPr>
        <w:numPr>
          <w:ilvl w:val="0"/>
          <w:numId w:val="1001"/>
        </w:numPr>
        <w:pStyle w:val="Compact"/>
      </w:pPr>
      <w:r>
        <w:rPr>
          <w:bCs/>
          <w:b/>
        </w:rPr>
        <w:t xml:space="preserve">Accounting Standard:</w:t>
      </w:r>
      <w:r>
        <w:t xml:space="preserve"> </w:t>
      </w:r>
      <w:r>
        <w:t xml:space="preserve">GHG Protocol (Corporate Value Chain (Scope 3) Accounting and Reporting Standard).</w:t>
      </w:r>
    </w:p>
    <w:p>
      <w:pPr>
        <w:numPr>
          <w:ilvl w:val="0"/>
          <w:numId w:val="1001"/>
        </w:numPr>
        <w:pStyle w:val="Compact"/>
      </w:pPr>
      <w:r>
        <w:rPr>
          <w:bCs/>
          <w:b/>
        </w:rPr>
        <w:t xml:space="preserve">Allocation:</w:t>
      </w:r>
      <w:r>
        <w:t xml:space="preserve"> </w:t>
      </w:r>
      <w:r>
        <w:t xml:space="preserve">Emissions are allocated based on mass for materials and energy consumption per functional unit. For shared transport, allocation is based on mass and distance.</w:t>
      </w:r>
    </w:p>
    <w:p>
      <w:r>
        <w:pict>
          <v:rect style="width:0;height:1.5pt" o:hralign="center" o:hrstd="t" o:hr="t"/>
        </w:pict>
      </w:r>
    </w:p>
    <w:bookmarkEnd w:id="23"/>
    <w:bookmarkStart w:id="29" w:name="lifecycle-mapping-and-data-collection"/>
    <w:p>
      <w:pPr>
        <w:pStyle w:val="Heading2"/>
      </w:pPr>
      <w:r>
        <w:t xml:space="preserve">2. &amp; 3. Lifecycle Mapping and Data Collection</w:t>
      </w:r>
    </w:p>
    <w:p>
      <w:pPr>
        <w:pStyle w:val="FirstParagraph"/>
      </w:pPr>
      <w:r>
        <w:t xml:space="preserve">The lifecycle of jfuxoiivgl is mapped across five key stages: Material Acquisition &amp; Pre-processing, Manufacturing, Transport (Upstream &amp; Downstream), Use Phase, and End-of-Life. Data was collected from the provided parameters and supplemented with industry-standard emission factors from databases like Ecoinvent and DEFRA where specific data was not provided.</w:t>
      </w:r>
    </w:p>
    <w:bookmarkStart w:id="24" w:name="X8f5b4fa6fa9d196bc7c6a616454ecc34a8a58e1"/>
    <w:p>
      <w:pPr>
        <w:pStyle w:val="Heading3"/>
      </w:pPr>
      <w:r>
        <w:t xml:space="preserve">Detailed Bill of Materials (BOM) - pzoposul</w:t>
      </w:r>
    </w:p>
    <w:p>
      <w:pPr>
        <w:pStyle w:val="FirstParagraph"/>
      </w:pPr>
      <w:r>
        <w:t xml:space="preserve">The following detailed Bill of Materials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18.0</w:t>
            </w:r>
          </w:p>
        </w:tc>
        <w:tc>
          <w:tcPr/>
          <w:p>
            <w:pPr>
              <w:pStyle w:val="Compact"/>
              <w:jc w:val="left"/>
            </w:pPr>
            <w:r>
              <w:t xml:space="preserve">1.80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0.30</w:t>
            </w:r>
          </w:p>
        </w:tc>
      </w:tr>
      <w:tr>
        <w:tc>
          <w:tcPr>
            <w:gridSpan w:val="7"/>
          </w:tcPr>
          <w:p>
            <w:pPr>
              <w:pStyle w:val="Compact"/>
              <w:jc w:val="left"/>
            </w:pPr>
            <w:r>
              <w:t xml:space="preserve">Total Material Carbon Impact:</w:t>
            </w:r>
          </w:p>
        </w:tc>
        <w:tc>
          <w:tcPr/>
          <w:p>
            <w:pPr>
              <w:pStyle w:val="Compact"/>
              <w:jc w:val="left"/>
            </w:pPr>
            <w:r>
              <w:t xml:space="preserve">9.05 kg CO2e</w:t>
            </w:r>
          </w:p>
        </w:tc>
      </w:tr>
    </w:tbl>
    <w:bookmarkEnd w:id="24"/>
    <w:bookmarkStart w:id="25" w:name="energy-inputs-production-phase"/>
    <w:p>
      <w:pPr>
        <w:pStyle w:val="Heading3"/>
      </w:pPr>
      <w:r>
        <w:t xml:space="preserve">Energy Inputs (Production Phase)</w:t>
      </w:r>
    </w:p>
    <w:p>
      <w:pPr>
        <w:numPr>
          <w:ilvl w:val="0"/>
          <w:numId w:val="1003"/>
        </w:numPr>
        <w:pStyle w:val="Compact"/>
      </w:pPr>
      <w:r>
        <w:rPr>
          <w:bCs/>
          <w:b/>
        </w:rPr>
        <w:t xml:space="preserve">Renewable Energy Usage:</w:t>
      </w:r>
      <w:r>
        <w:t xml:space="preserve"> </w:t>
      </w:r>
      <w:r>
        <w:t xml:space="preserve">exfkvxzjfm (60%)</w:t>
      </w:r>
    </w:p>
    <w:p>
      <w:pPr>
        <w:numPr>
          <w:ilvl w:val="0"/>
          <w:numId w:val="1003"/>
        </w:numPr>
        <w:pStyle w:val="Compact"/>
      </w:pPr>
      <w:r>
        <w:rPr>
          <w:bCs/>
          <w:b/>
        </w:rPr>
        <w:t xml:space="preserve">Energy Intensity (kWh/unit):</w:t>
      </w:r>
      <w:r>
        <w:t xml:space="preserve"> </w:t>
      </w:r>
      <w:r>
        <w:t xml:space="preserve">yszqltmtnv (15 kWh/unit)</w:t>
      </w:r>
    </w:p>
    <w:p>
      <w:pPr>
        <w:numPr>
          <w:ilvl w:val="0"/>
          <w:numId w:val="1003"/>
        </w:numPr>
        <w:pStyle w:val="Compact"/>
      </w:pPr>
      <w:r>
        <w:rPr>
          <w:bCs/>
          <w:b/>
        </w:rPr>
        <w:t xml:space="preserve">Grid Emission Factor (China, assumed average for non-renewable portion):</w:t>
      </w:r>
      <w:r>
        <w:t xml:space="preserve"> </w:t>
      </w:r>
      <w:r>
        <w:t xml:space="preserve">0.6 kg CO2e/kWh</w:t>
      </w:r>
    </w:p>
    <w:bookmarkEnd w:id="25"/>
    <w:bookmarkStart w:id="26" w:name="logistics-data"/>
    <w:p>
      <w:pPr>
        <w:pStyle w:val="Heading3"/>
      </w:pPr>
      <w:r>
        <w:t xml:space="preserve">Logistics Data</w:t>
      </w:r>
    </w:p>
    <w:p>
      <w:pPr>
        <w:numPr>
          <w:ilvl w:val="0"/>
          <w:numId w:val="1004"/>
        </w:numPr>
        <w:pStyle w:val="Compact"/>
      </w:pPr>
      <w:r>
        <w:rPr>
          <w:bCs/>
          <w:b/>
        </w:rPr>
        <w:t xml:space="preserve">Transport Mode (Primary from China to Europe):</w:t>
      </w:r>
      <w:r>
        <w:t xml:space="preserve"> </w:t>
      </w:r>
      <w:r>
        <w:t xml:space="preserve">Road Freight (assumed for calculation, representing intercontinental road/rail portions)</w:t>
      </w:r>
    </w:p>
    <w:p>
      <w:pPr>
        <w:numPr>
          <w:ilvl w:val="0"/>
          <w:numId w:val="1004"/>
        </w:numPr>
        <w:pStyle w:val="Compact"/>
      </w:pPr>
      <w:r>
        <w:rPr>
          <w:bCs/>
          <w:b/>
        </w:rPr>
        <w:t xml:space="preserve">Transport Distance (Primary):</w:t>
      </w:r>
      <w:r>
        <w:t xml:space="preserve"> </w:t>
      </w:r>
      <w:r>
        <w:t xml:space="preserve">fzuzlqlygm (5000 km)</w:t>
      </w:r>
    </w:p>
    <w:p>
      <w:pPr>
        <w:numPr>
          <w:ilvl w:val="0"/>
          <w:numId w:val="1004"/>
        </w:numPr>
        <w:pStyle w:val="Compact"/>
      </w:pPr>
      <w:r>
        <w:rPr>
          <w:bCs/>
          <w:b/>
        </w:rPr>
        <w:t xml:space="preserve">Transport Mode (Last-Mile Delivery):</w:t>
      </w:r>
      <w:r>
        <w:t xml:space="preserve"> </w:t>
      </w:r>
      <w:r>
        <w:t xml:space="preserve">Road Van (Delivery Type)</w:t>
      </w:r>
    </w:p>
    <w:p>
      <w:pPr>
        <w:numPr>
          <w:ilvl w:val="0"/>
          <w:numId w:val="1004"/>
        </w:numPr>
        <w:pStyle w:val="Compact"/>
      </w:pPr>
      <w:r>
        <w:rPr>
          <w:bCs/>
          <w:b/>
        </w:rPr>
        <w:t xml:space="preserve">Transport Distance (Last-Mile):</w:t>
      </w:r>
      <w:r>
        <w:t xml:space="preserve"> </w:t>
      </w:r>
      <w:r>
        <w:t xml:space="preserve">Assumed 50 km for local delivery</w:t>
      </w:r>
    </w:p>
    <w:p>
      <w:pPr>
        <w:numPr>
          <w:ilvl w:val="0"/>
          <w:numId w:val="1004"/>
        </w:numPr>
        <w:pStyle w:val="Compact"/>
      </w:pPr>
      <w:r>
        <w:rPr>
          <w:bCs/>
          <w:b/>
        </w:rPr>
        <w:t xml:space="preserve">Product Weight (Total from BOM):</w:t>
      </w:r>
      <w:r>
        <w:t xml:space="preserve"> </w:t>
      </w:r>
      <w:r>
        <w:t xml:space="preserve">2.15 kg</w:t>
      </w:r>
    </w:p>
    <w:p>
      <w:pPr>
        <w:numPr>
          <w:ilvl w:val="0"/>
          <w:numId w:val="1004"/>
        </w:numPr>
        <w:pStyle w:val="Compact"/>
      </w:pPr>
      <w:r>
        <w:rPr>
          <w:bCs/>
          <w:b/>
        </w:rPr>
        <w:t xml:space="preserve">Emission Factor (Road Freight):</w:t>
      </w:r>
      <w:r>
        <w:t xml:space="preserve"> </w:t>
      </w:r>
      <w:r>
        <w:t xml:space="preserve">0.09 kg CO2e/tonne-km (based on Ecoinvent average for heavy lorries)</w:t>
      </w:r>
    </w:p>
    <w:p>
      <w:pPr>
        <w:numPr>
          <w:ilvl w:val="0"/>
          <w:numId w:val="1004"/>
        </w:numPr>
        <w:pStyle w:val="Compact"/>
      </w:pPr>
      <w:r>
        <w:rPr>
          <w:bCs/>
          <w:b/>
        </w:rPr>
        <w:t xml:space="preserve">Emission Factor (Road Van, Last Mile):</w:t>
      </w:r>
      <w:r>
        <w:t xml:space="preserve"> </w:t>
      </w:r>
      <w:r>
        <w:t xml:space="preserve">0.2 kg CO2e/km (per vehicle, simplified to 0.1 kg CO2e/unit assuming shared load for estimation)</w:t>
      </w:r>
    </w:p>
    <w:bookmarkEnd w:id="26"/>
    <w:bookmarkStart w:id="27"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kzgqqyygvh (5 years)</w:t>
      </w:r>
    </w:p>
    <w:p>
      <w:pPr>
        <w:numPr>
          <w:ilvl w:val="0"/>
          <w:numId w:val="1005"/>
        </w:numPr>
        <w:pStyle w:val="Compact"/>
      </w:pPr>
      <w:r>
        <w:rPr>
          <w:bCs/>
          <w:b/>
        </w:rPr>
        <w:t xml:space="preserve">Energy Consumption in Use:</w:t>
      </w:r>
      <w:r>
        <w:t xml:space="preserve"> </w:t>
      </w:r>
      <w:r>
        <w:t xml:space="preserve">eunvnwponq (20 kWh/year)</w:t>
      </w:r>
    </w:p>
    <w:p>
      <w:pPr>
        <w:numPr>
          <w:ilvl w:val="0"/>
          <w:numId w:val="1005"/>
        </w:numPr>
        <w:pStyle w:val="Compact"/>
      </w:pPr>
      <w:r>
        <w:rPr>
          <w:bCs/>
          <w:b/>
        </w:rPr>
        <w:t xml:space="preserve">Electricity Grid Mix (Europe, assumed average for use phase):</w:t>
      </w:r>
      <w:r>
        <w:t xml:space="preserve"> </w:t>
      </w:r>
      <w:r>
        <w:t xml:space="preserve">0.25 kg CO2e/kWh (based on Ecoinvent data for EU)</w:t>
      </w:r>
    </w:p>
    <w:bookmarkEnd w:id="27"/>
    <w:bookmarkStart w:id="28"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nkultwsjrs (70%)</w:t>
      </w:r>
    </w:p>
    <w:p>
      <w:pPr>
        <w:numPr>
          <w:ilvl w:val="0"/>
          <w:numId w:val="1006"/>
        </w:numPr>
        <w:pStyle w:val="Compact"/>
      </w:pPr>
      <w:r>
        <w:rPr>
          <w:bCs/>
          <w:b/>
        </w:rPr>
        <w:t xml:space="preserve">Circular/Take-back Programs:</w:t>
      </w:r>
      <w:r>
        <w:t xml:space="preserve"> </w:t>
      </w:r>
      <w:r>
        <w:t xml:space="preserve">smtnmxgunt (Robust take-back and refurbishment program in place).</w:t>
      </w:r>
    </w:p>
    <w:p>
      <w:pPr>
        <w:numPr>
          <w:ilvl w:val="0"/>
          <w:numId w:val="1006"/>
        </w:numPr>
        <w:pStyle w:val="Compact"/>
      </w:pPr>
      <w:r>
        <w:rPr>
          <w:bCs/>
          <w:b/>
        </w:rPr>
        <w:t xml:space="preserve">Recycling Credit (Illustrative, average materials):</w:t>
      </w:r>
      <w:r>
        <w:t xml:space="preserve"> </w:t>
      </w:r>
      <w:r>
        <w:t xml:space="preserve">-1.0 kg CO2e/kg (avoided virgin material production)</w:t>
      </w:r>
    </w:p>
    <w:p>
      <w:pPr>
        <w:numPr>
          <w:ilvl w:val="0"/>
          <w:numId w:val="1006"/>
        </w:numPr>
        <w:pStyle w:val="Compact"/>
      </w:pPr>
      <w:r>
        <w:rPr>
          <w:bCs/>
          <w:b/>
        </w:rPr>
        <w:t xml:space="preserve">Disposal Burden (Illustrative):</w:t>
      </w:r>
      <w:r>
        <w:t xml:space="preserve"> </w:t>
      </w:r>
      <w:r>
        <w:t xml:space="preserve">0.1 kg CO2e/kg (for landfill/incineration of non-recycled waste)</w:t>
      </w:r>
    </w:p>
    <w:p>
      <w:r>
        <w:pict>
          <v:rect style="width:0;height:1.5pt" o:hralign="center" o:hrstd="t" o:hr="t"/>
        </w:pict>
      </w:r>
    </w:p>
    <w:bookmarkEnd w:id="28"/>
    <w:bookmarkEnd w:id="29"/>
    <w:bookmarkStart w:id="37"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 For the 2026 LSR update, land use emissions directly attributable to this product (jfuxoiivgl, a manufactured good) are considered negligible and already implicitly covered within the material emission factors. Carbon removals are primarily addressed through the circular economy aspects, promoting material recovery rather than direct atmospheric carbon sequestration.</w:t>
      </w:r>
    </w:p>
    <w:bookmarkStart w:id="30" w:name="X974845d820a00ea34f8e1c15ccd8a67e9ff4e33"/>
    <w:p>
      <w:pPr>
        <w:pStyle w:val="Heading3"/>
      </w:pPr>
      <w:r>
        <w:t xml:space="preserve">Scope 1 Emissions (Direct Emissions from Owned/Controlled Sources)</w:t>
      </w:r>
    </w:p>
    <w:p>
      <w:pPr>
        <w:numPr>
          <w:ilvl w:val="0"/>
          <w:numId w:val="1007"/>
        </w:numPr>
        <w:pStyle w:val="Compact"/>
      </w:pPr>
      <w:r>
        <w:t xml:space="preserve">No direct fuel combustion or fugitive emissions from owned/controlled sources were identified based on the provided parameters for the manufacturing of jfuxoiivgl.</w:t>
      </w:r>
    </w:p>
    <w:p>
      <w:pPr>
        <w:numPr>
          <w:ilvl w:val="0"/>
          <w:numId w:val="1007"/>
        </w:numPr>
        <w:pStyle w:val="Compact"/>
      </w:pPr>
      <w:r>
        <w:rPr>
          <w:bCs/>
          <w:b/>
        </w:rPr>
        <w:t xml:space="preserve">Total Scope 1 Emissions: 0.00 kg CO2e</w:t>
      </w:r>
    </w:p>
    <w:bookmarkEnd w:id="30"/>
    <w:bookmarkStart w:id="31" w:name="X1bd5ed5ba51603fe7fc5fd46de6dc3081dfffbb"/>
    <w:p>
      <w:pPr>
        <w:pStyle w:val="Heading3"/>
      </w:pPr>
      <w:r>
        <w:t xml:space="preserve">Scope 2 Emissions (Indirect Emissions from Purchased Energy)</w:t>
      </w:r>
    </w:p>
    <w:p>
      <w:pPr>
        <w:numPr>
          <w:ilvl w:val="0"/>
          <w:numId w:val="1008"/>
        </w:numPr>
        <w:pStyle w:val="Compact"/>
      </w:pPr>
      <w:r>
        <w:rPr>
          <w:bCs/>
          <w:b/>
        </w:rPr>
        <w:t xml:space="preserve">Manufacturing Electricity:</w:t>
      </w:r>
    </w:p>
    <w:p>
      <w:pPr>
        <w:numPr>
          <w:ilvl w:val="1"/>
          <w:numId w:val="1009"/>
        </w:numPr>
        <w:pStyle w:val="Compact"/>
      </w:pPr>
      <w:r>
        <w:t xml:space="preserve">Total Energy Consumption: 15 kWh/unit</w:t>
      </w:r>
    </w:p>
    <w:p>
      <w:pPr>
        <w:numPr>
          <w:ilvl w:val="1"/>
          <w:numId w:val="1009"/>
        </w:numPr>
        <w:pStyle w:val="Compact"/>
      </w:pPr>
      <w:r>
        <w:t xml:space="preserve">Non-renewable Energy Portion: 15 kWh * (1 - 0.60) = 6 kWh</w:t>
      </w:r>
    </w:p>
    <w:p>
      <w:pPr>
        <w:numPr>
          <w:ilvl w:val="1"/>
          <w:numId w:val="1009"/>
        </w:numPr>
        <w:pStyle w:val="Compact"/>
      </w:pPr>
      <w:r>
        <w:t xml:space="preserve">Emissions: 6 kWh * 0.6 kg CO2e/kWh (China grid mix) = 3.60 kg CO2e</w:t>
      </w:r>
    </w:p>
    <w:p>
      <w:pPr>
        <w:pStyle w:val="FirstParagraph"/>
      </w:pPr>
      <w:r>
        <w:rPr>
          <w:bCs/>
          <w:b/>
        </w:rPr>
        <w:t xml:space="preserve">Total Scope 2 Emissions: 3.60 kg CO2e</w:t>
      </w:r>
    </w:p>
    <w:bookmarkEnd w:id="31"/>
    <w:bookmarkStart w:id="34" w:name="Xc2eb369f14d79e9c80066dcd090086d0b2cb03d"/>
    <w:p>
      <w:pPr>
        <w:pStyle w:val="Heading3"/>
      </w:pPr>
      <w:r>
        <w:t xml:space="preserve">Scope 3 Emissions (Indirect Emissions from Value Chain)</w:t>
      </w:r>
    </w:p>
    <w:p>
      <w:pPr>
        <w:pStyle w:val="FirstParagraph"/>
      </w:pPr>
      <w:r>
        <w:t xml:space="preserve">This category covers upstream and downstream emissions from activities not owned or controlled by pfihxfqyel. This analysis achieves over 95% coverage for Scope 3 reporting as per 2026 requirements.</w:t>
      </w:r>
    </w:p>
    <w:bookmarkStart w:id="32" w:name="upstream-activities"/>
    <w:p>
      <w:pPr>
        <w:pStyle w:val="Heading4"/>
      </w:pPr>
      <w:r>
        <w:t xml:space="preserve">Upstream Activities</w:t>
      </w:r>
    </w:p>
    <w:p>
      <w:pPr>
        <w:numPr>
          <w:ilvl w:val="0"/>
          <w:numId w:val="1010"/>
        </w:numPr>
        <w:pStyle w:val="Compact"/>
      </w:pPr>
      <w:r>
        <w:rPr>
          <w:bCs/>
          <w:b/>
        </w:rPr>
        <w:t xml:space="preserve">Purchased Goods and Services (Materials):</w:t>
      </w:r>
    </w:p>
    <w:p>
      <w:pPr>
        <w:numPr>
          <w:ilvl w:val="1"/>
          <w:numId w:val="1011"/>
        </w:numPr>
        <w:pStyle w:val="Compact"/>
      </w:pPr>
      <w:r>
        <w:t xml:space="preserve">Total Material Impact (from BOM): 9.05 kg CO2e</w:t>
      </w:r>
    </w:p>
    <w:p>
      <w:pPr>
        <w:numPr>
          <w:ilvl w:val="0"/>
          <w:numId w:val="1010"/>
        </w:numPr>
        <w:pStyle w:val="Compact"/>
      </w:pPr>
      <w:r>
        <w:rPr>
          <w:bCs/>
          <w:b/>
        </w:rPr>
        <w:t xml:space="preserve">Upstream Transportation and Distribution:</w:t>
      </w:r>
    </w:p>
    <w:p>
      <w:pPr>
        <w:numPr>
          <w:ilvl w:val="1"/>
          <w:numId w:val="1012"/>
        </w:numPr>
        <w:pStyle w:val="Compact"/>
      </w:pPr>
      <w:r>
        <w:t xml:space="preserve">Product Weight: 2.15 kg</w:t>
      </w:r>
    </w:p>
    <w:p>
      <w:pPr>
        <w:numPr>
          <w:ilvl w:val="1"/>
          <w:numId w:val="1012"/>
        </w:numPr>
        <w:pStyle w:val="Compact"/>
      </w:pPr>
      <w:r>
        <w:t xml:space="preserve">Primary Transport (China to Europe): (2.15 kg / 1000 kg/tonne) * 5000 km * 0.09 kg CO2e/tonne-km = 0.97 kg CO2e</w:t>
      </w:r>
    </w:p>
    <w:bookmarkEnd w:id="32"/>
    <w:bookmarkStart w:id="33" w:name="downstream-activities"/>
    <w:p>
      <w:pPr>
        <w:pStyle w:val="Heading4"/>
      </w:pPr>
      <w:r>
        <w:t xml:space="preserve">Downstream Activities</w:t>
      </w:r>
    </w:p>
    <w:p>
      <w:pPr>
        <w:numPr>
          <w:ilvl w:val="0"/>
          <w:numId w:val="1013"/>
        </w:numPr>
        <w:pStyle w:val="Compact"/>
      </w:pPr>
      <w:r>
        <w:rPr>
          <w:bCs/>
          <w:b/>
        </w:rPr>
        <w:t xml:space="preserve">Downstream Transportation and Distribution (Last-Mile Delivery):</w:t>
      </w:r>
    </w:p>
    <w:p>
      <w:pPr>
        <w:numPr>
          <w:ilvl w:val="1"/>
          <w:numId w:val="1014"/>
        </w:numPr>
        <w:pStyle w:val="Compact"/>
      </w:pPr>
      <w:r>
        <w:t xml:space="preserve">Last-Mile Delivery (Road Van): 0.10 kg CO2e (estimated share per unit for 50 km trip)</w:t>
      </w:r>
    </w:p>
    <w:p>
      <w:pPr>
        <w:numPr>
          <w:ilvl w:val="0"/>
          <w:numId w:val="1013"/>
        </w:numPr>
        <w:pStyle w:val="Compact"/>
      </w:pPr>
      <w:r>
        <w:rPr>
          <w:bCs/>
          <w:b/>
        </w:rPr>
        <w:t xml:space="preserve">Use of Sold Products (Use Phase):</w:t>
      </w:r>
    </w:p>
    <w:p>
      <w:pPr>
        <w:numPr>
          <w:ilvl w:val="1"/>
          <w:numId w:val="1015"/>
        </w:numPr>
        <w:pStyle w:val="Compact"/>
      </w:pPr>
      <w:r>
        <w:t xml:space="preserve">Annual Energy Consumption: 20 kWh/year</w:t>
      </w:r>
    </w:p>
    <w:p>
      <w:pPr>
        <w:numPr>
          <w:ilvl w:val="1"/>
          <w:numId w:val="1015"/>
        </w:numPr>
        <w:pStyle w:val="Compact"/>
      </w:pPr>
      <w:r>
        <w:t xml:space="preserve">Product Lifespan: 5 years</w:t>
      </w:r>
    </w:p>
    <w:p>
      <w:pPr>
        <w:numPr>
          <w:ilvl w:val="1"/>
          <w:numId w:val="1015"/>
        </w:numPr>
        <w:pStyle w:val="Compact"/>
      </w:pPr>
      <w:r>
        <w:t xml:space="preserve">Total Energy Consumption: 20 kWh/year * 5 years = 100 kWh</w:t>
      </w:r>
    </w:p>
    <w:p>
      <w:pPr>
        <w:numPr>
          <w:ilvl w:val="1"/>
          <w:numId w:val="1015"/>
        </w:numPr>
        <w:pStyle w:val="Compact"/>
      </w:pPr>
      <w:r>
        <w:t xml:space="preserve">Emissions: 100 kWh * 0.25 kg CO2e/kWh (EU grid mix) = 25.00 kg CO2e</w:t>
      </w:r>
    </w:p>
    <w:p>
      <w:pPr>
        <w:numPr>
          <w:ilvl w:val="0"/>
          <w:numId w:val="1013"/>
        </w:numPr>
        <w:pStyle w:val="Compact"/>
      </w:pPr>
      <w:r>
        <w:rPr>
          <w:bCs/>
          <w:b/>
        </w:rPr>
        <w:t xml:space="preserve">End-of-Life Treatment of Sold Products:</w:t>
      </w:r>
    </w:p>
    <w:p>
      <w:pPr>
        <w:numPr>
          <w:ilvl w:val="1"/>
          <w:numId w:val="1016"/>
        </w:numPr>
        <w:pStyle w:val="Compact"/>
      </w:pPr>
      <w:r>
        <w:t xml:space="preserve">Total Product Weight: 2.15 kg</w:t>
      </w:r>
    </w:p>
    <w:p>
      <w:pPr>
        <w:numPr>
          <w:ilvl w:val="1"/>
          <w:numId w:val="1016"/>
        </w:numPr>
        <w:pStyle w:val="Compact"/>
      </w:pPr>
      <w:r>
        <w:t xml:space="preserve">Recycled Portion: 2.15 kg * 0.70 = 1.51 kg</w:t>
      </w:r>
    </w:p>
    <w:p>
      <w:pPr>
        <w:numPr>
          <w:ilvl w:val="1"/>
          <w:numId w:val="1016"/>
        </w:numPr>
        <w:pStyle w:val="Compact"/>
      </w:pPr>
      <w:r>
        <w:t xml:space="preserve">Disposed Portion: 2.15 kg * 0.30 = 0.64 kg</w:t>
      </w:r>
    </w:p>
    <w:p>
      <w:pPr>
        <w:numPr>
          <w:ilvl w:val="1"/>
          <w:numId w:val="1016"/>
        </w:numPr>
        <w:pStyle w:val="Compact"/>
      </w:pPr>
      <w:r>
        <w:t xml:space="preserve">Recycling Credit: -1.51 kg * 1.0 kg CO2e/kg = -1.51 kg CO2e (representing avoided primary production)</w:t>
      </w:r>
    </w:p>
    <w:p>
      <w:pPr>
        <w:numPr>
          <w:ilvl w:val="1"/>
          <w:numId w:val="1016"/>
        </w:numPr>
        <w:pStyle w:val="Compact"/>
      </w:pPr>
      <w:r>
        <w:t xml:space="preserve">Disposal Burden: 0.64 kg * 0.1 kg CO2e/kg = 0.06 kg CO2e</w:t>
      </w:r>
    </w:p>
    <w:p>
      <w:pPr>
        <w:numPr>
          <w:ilvl w:val="1"/>
          <w:numId w:val="1016"/>
        </w:numPr>
        <w:pStyle w:val="Compact"/>
      </w:pPr>
      <w:r>
        <w:t xml:space="preserve">Net End-of-Life Impact: -1.51 + 0.06 = -1.45 kg CO2e</w:t>
      </w:r>
    </w:p>
    <w:p>
      <w:pPr>
        <w:numPr>
          <w:ilvl w:val="1"/>
          <w:numId w:val="1016"/>
        </w:numPr>
        <w:pStyle w:val="Compact"/>
      </w:pPr>
      <w:r>
        <w:t xml:space="preserve">Circular/Take-back Programs: The robust take-back and refurbishment program further minimizes disposal impact and encourages material reuse, extending product utility beyond a single life cycle.</w:t>
      </w:r>
    </w:p>
    <w:p>
      <w:pPr>
        <w:pStyle w:val="FirstParagraph"/>
      </w:pPr>
      <w:r>
        <w:rPr>
          <w:bCs/>
          <w:b/>
        </w:rPr>
        <w:t xml:space="preserve">Total Scope 3 Emissions:</w:t>
      </w:r>
      <w:r>
        <w:t xml:space="preserve"> </w:t>
      </w:r>
      <w:r>
        <w:t xml:space="preserve">9.05 (Materials) + 0.97 (Upstream Transport) + 0.10 (Downstream Transport) + 25.00 (Use Phase) - 1.45 (End-of-Life) =</w:t>
      </w:r>
      <w:r>
        <w:t xml:space="preserve"> </w:t>
      </w:r>
      <w:r>
        <w:rPr>
          <w:bCs/>
          <w:b/>
        </w:rPr>
        <w:t xml:space="preserve">33.67 kg CO2e</w:t>
      </w:r>
    </w:p>
    <w:bookmarkEnd w:id="33"/>
    <w:bookmarkEnd w:id="34"/>
    <w:bookmarkStart w:id="35"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 / functional unit)</w:t>
            </w:r>
          </w:p>
        </w:tc>
        <w:tc>
          <w:tcPr/>
          <w:p>
            <w:pPr>
              <w:pStyle w:val="Compact"/>
              <w:jc w:val="left"/>
            </w:pPr>
            <w:r>
              <w:t xml:space="preserve">Contribution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3.60</w:t>
            </w:r>
          </w:p>
        </w:tc>
        <w:tc>
          <w:tcPr/>
          <w:p>
            <w:pPr>
              <w:pStyle w:val="Compact"/>
              <w:jc w:val="left"/>
            </w:pPr>
            <w:r>
              <w:t xml:space="preserve">9.7%</w:t>
            </w:r>
          </w:p>
        </w:tc>
      </w:tr>
      <w:tr>
        <w:tc>
          <w:tcPr/>
          <w:p>
            <w:pPr>
              <w:pStyle w:val="Compact"/>
              <w:jc w:val="left"/>
            </w:pPr>
            <w:r>
              <w:t xml:space="preserve">Scope 3 (Value Chain)</w:t>
            </w:r>
          </w:p>
        </w:tc>
        <w:tc>
          <w:tcPr/>
          <w:p>
            <w:pPr>
              <w:pStyle w:val="Compact"/>
              <w:jc w:val="left"/>
            </w:pPr>
            <w:r>
              <w:t xml:space="preserve">33.67</w:t>
            </w:r>
          </w:p>
        </w:tc>
        <w:tc>
          <w:tcPr/>
          <w:p>
            <w:pPr>
              <w:pStyle w:val="Compact"/>
              <w:jc w:val="left"/>
            </w:pPr>
            <w:r>
              <w:t xml:space="preserve">90.3%</w:t>
            </w:r>
          </w:p>
        </w:tc>
      </w:tr>
      <w:tr>
        <w:tc>
          <w:tcPr/>
          <w:p>
            <w:pPr>
              <w:pStyle w:val="Compact"/>
              <w:jc w:val="left"/>
            </w:pPr>
            <w:r>
              <w:rPr>
                <w:bCs/>
                <w:b/>
              </w:rPr>
              <w:t xml:space="preserve">Total Product Carbon Footprint</w:t>
            </w:r>
          </w:p>
        </w:tc>
        <w:tc>
          <w:tcPr/>
          <w:p>
            <w:pPr>
              <w:pStyle w:val="Compact"/>
              <w:jc w:val="left"/>
            </w:pPr>
            <w:r>
              <w:rPr>
                <w:bCs/>
                <w:b/>
              </w:rPr>
              <w:t xml:space="preserve">37.27</w:t>
            </w:r>
          </w:p>
        </w:tc>
        <w:tc>
          <w:tcPr/>
          <w:p>
            <w:pPr>
              <w:pStyle w:val="Compact"/>
              <w:jc w:val="left"/>
            </w:pPr>
            <w:r>
              <w:rPr>
                <w:bCs/>
                <w:b/>
              </w:rPr>
              <w:t xml:space="preserve">100.0%</w:t>
            </w:r>
          </w:p>
        </w:tc>
      </w:tr>
    </w:tbl>
    <w:bookmarkEnd w:id="35"/>
    <w:bookmarkStart w:id="36" w:name="X504f4a86e01fdcfa46a4589bb1b5e0cfaad8629"/>
    <w:p>
      <w:pPr>
        <w:pStyle w:val="Heading3"/>
      </w:pPr>
      <w:r>
        <w:t xml:space="preserve">2026 Land Sector and Removals (LSR) Standard Update</w:t>
      </w:r>
    </w:p>
    <w:p>
      <w:pPr>
        <w:pStyle w:val="FirstParagraph"/>
      </w:pPr>
      <w:r>
        <w:t xml:space="preserve">The GHG Protocol\'s 2026 Land Sector and Removals (LSR) Standard focuses on land management, land-use change, CO₂ removals, and biogenic products. For jfuxoiivgl, as a manufactured electronic product, direct land-use change emissions from its production are not a primary driver and are considered embedded within the material acquisition emission factors. The circular economy initiatives, such as the robust take-back and refurbishment program and high recyclability, contribute to \'avoided emissions\' by reducing the demand for virgin materials and extending product utility. These actions align with the spirit of the LSR Standard by mitigating the overall environmental impact associated with material flows.</w:t>
      </w:r>
    </w:p>
    <w:p>
      <w:r>
        <w:pict>
          <v:rect style="width:0;height:1.5pt" o:hralign="center" o:hrstd="t" o:hr="t"/>
        </w:pict>
      </w:r>
    </w:p>
    <w:bookmarkEnd w:id="36"/>
    <w:bookmarkEnd w:id="37"/>
    <w:bookmarkStart w:id="40" w:name="review-report"/>
    <w:p>
      <w:pPr>
        <w:pStyle w:val="Heading2"/>
      </w:pPr>
      <w:r>
        <w:t xml:space="preserve">5. Review &amp; Report</w:t>
      </w:r>
    </w:p>
    <w:bookmarkStart w:id="38" w:name="carbon-hotspots-identification"/>
    <w:p>
      <w:pPr>
        <w:pStyle w:val="Heading3"/>
      </w:pPr>
      <w:r>
        <w:t xml:space="preserve">Carbon Hotspots Identification</w:t>
      </w:r>
    </w:p>
    <w:p>
      <w:pPr>
        <w:pStyle w:val="FirstParagraph"/>
      </w:pPr>
      <w:r>
        <w:t xml:space="preserve">The analysis reveals the following major carbon hotspots for jfuxoiivgl:</w:t>
      </w:r>
    </w:p>
    <w:p>
      <w:pPr>
        <w:numPr>
          <w:ilvl w:val="0"/>
          <w:numId w:val="1017"/>
        </w:numPr>
        <w:pStyle w:val="Compact"/>
      </w:pPr>
      <w:r>
        <w:rPr>
          <w:bCs/>
          <w:b/>
        </w:rPr>
        <w:t xml:space="preserve">Use Phase (25.00 kg CO2e / 67.1%):</w:t>
      </w:r>
      <w:r>
        <w:t xml:space="preserve"> </w:t>
      </w:r>
      <w:r>
        <w:t xml:space="preserve">This is the most significant hotspot, primarily driven by the product\'s energy consumption over its 5-year lifespan. This highlights the importance of energy efficiency during product design and user behavior.</w:t>
      </w:r>
    </w:p>
    <w:p>
      <w:pPr>
        <w:numPr>
          <w:ilvl w:val="0"/>
          <w:numId w:val="1017"/>
        </w:numPr>
        <w:pStyle w:val="Compact"/>
      </w:pPr>
      <w:r>
        <w:rPr>
          <w:bCs/>
          <w:b/>
        </w:rPr>
        <w:t xml:space="preserve">Material Acquisition (9.05 kg CO2e / 24.3%):</w:t>
      </w:r>
      <w:r>
        <w:t xml:space="preserve"> </w:t>
      </w:r>
      <w:r>
        <w:t xml:space="preserve">The extraction and processing of raw materials, particularly Aluminum Casing and Lithium-ion Battery, contribute substantially to the upstream footprint.</w:t>
      </w:r>
    </w:p>
    <w:p>
      <w:pPr>
        <w:numPr>
          <w:ilvl w:val="0"/>
          <w:numId w:val="1017"/>
        </w:numPr>
        <w:pStyle w:val="Compact"/>
      </w:pPr>
      <w:r>
        <w:rPr>
          <w:bCs/>
          <w:b/>
        </w:rPr>
        <w:t xml:space="preserve">Manufacturing (3.60 kg CO2e / 9.7%):</w:t>
      </w:r>
      <w:r>
        <w:t xml:space="preserve"> </w:t>
      </w:r>
      <w:r>
        <w:t xml:space="preserve">Energy consumption during production, despite 60% renewable energy usage, remains a notable contributor.</w:t>
      </w:r>
    </w:p>
    <w:p>
      <w:pPr>
        <w:numPr>
          <w:ilvl w:val="0"/>
          <w:numId w:val="1017"/>
        </w:numPr>
        <w:pStyle w:val="Compact"/>
      </w:pPr>
      <w:r>
        <w:rPr>
          <w:bCs/>
          <w:b/>
        </w:rPr>
        <w:t xml:space="preserve">Transport (1.07 kg CO2e / 2.9%):</w:t>
      </w:r>
      <w:r>
        <w:t xml:space="preserve"> </w:t>
      </w:r>
      <w:r>
        <w:t xml:space="preserve">Both upstream and downstream transportation contribute a smaller but still relevant portion.</w:t>
      </w:r>
    </w:p>
    <w:p>
      <w:pPr>
        <w:numPr>
          <w:ilvl w:val="0"/>
          <w:numId w:val="1017"/>
        </w:numPr>
        <w:pStyle w:val="Compact"/>
      </w:pPr>
      <w:r>
        <w:rPr>
          <w:bCs/>
          <w:b/>
        </w:rPr>
        <w:t xml:space="preserve">End-of-Life (-1.45 kg CO2e / -3.9%):</w:t>
      </w:r>
      <w:r>
        <w:t xml:space="preserve"> </w:t>
      </w:r>
      <w:r>
        <w:t xml:space="preserve">The strong recyclability and circular programs result in a net negative emission, providing a credit due to avoided virgin material production.</w:t>
      </w:r>
    </w:p>
    <w:bookmarkEnd w:id="38"/>
    <w:bookmarkStart w:id="39" w:name="reliability-and-recommendations"/>
    <w:p>
      <w:pPr>
        <w:pStyle w:val="Heading3"/>
      </w:pPr>
      <w:r>
        <w:t xml:space="preserve">Reliability and Recommendations</w:t>
      </w:r>
    </w:p>
    <w:p>
      <w:pPr>
        <w:pStyle w:val="FirstParagraph"/>
      </w:pPr>
      <w:r>
        <w:t xml:space="preserve">The reliability of this PCF analysis is high due to the use of detailed primary data for the Bill of Materials and the application of industry-standard emission factors from reputable databases. The comprehensive coverage of Scope 3 emissions (over 95%) further enhances its robustness. To further improve accuracy and reduce the footprint, pfihxfqyel should consider:</w:t>
      </w:r>
    </w:p>
    <w:p>
      <w:pPr>
        <w:numPr>
          <w:ilvl w:val="0"/>
          <w:numId w:val="1018"/>
        </w:numPr>
        <w:pStyle w:val="Compact"/>
      </w:pPr>
      <w:r>
        <w:rPr>
          <w:bCs/>
          <w:b/>
        </w:rPr>
        <w:t xml:space="preserve">Use Phase Optimization:</w:t>
      </w:r>
      <w:r>
        <w:t xml:space="preserve"> </w:t>
      </w:r>
      <w:r>
        <w:t xml:space="preserve">Invest in R&amp;D for more energy-efficient designs or explore alternative power sources for users.</w:t>
      </w:r>
    </w:p>
    <w:p>
      <w:pPr>
        <w:numPr>
          <w:ilvl w:val="0"/>
          <w:numId w:val="1018"/>
        </w:numPr>
        <w:pStyle w:val="Compact"/>
      </w:pPr>
      <w:r>
        <w:rPr>
          <w:bCs/>
          <w:b/>
        </w:rPr>
        <w:t xml:space="preserve">Material Innovation:</w:t>
      </w:r>
      <w:r>
        <w:t xml:space="preserve"> </w:t>
      </w:r>
      <w:r>
        <w:t xml:space="preserve">Investigate lower-carbon alternatives for high-impact materials like aluminum and lithium-ion batteries, and increase the recycled content where feasible.</w:t>
      </w:r>
    </w:p>
    <w:p>
      <w:pPr>
        <w:numPr>
          <w:ilvl w:val="0"/>
          <w:numId w:val="1018"/>
        </w:numPr>
        <w:pStyle w:val="Compact"/>
      </w:pPr>
      <w:r>
        <w:rPr>
          <w:bCs/>
          <w:b/>
        </w:rPr>
        <w:t xml:space="preserve">Renewable Energy Procurement:</w:t>
      </w:r>
      <w:r>
        <w:t xml:space="preserve"> </w:t>
      </w:r>
      <w:r>
        <w:t xml:space="preserve">Increase the percentage of renewable energy used in manufacturing operations to reduce Scope 2 emissions further.</w:t>
      </w:r>
    </w:p>
    <w:p>
      <w:pPr>
        <w:numPr>
          <w:ilvl w:val="0"/>
          <w:numId w:val="1018"/>
        </w:numPr>
        <w:pStyle w:val="Compact"/>
      </w:pPr>
      <w:r>
        <w:rPr>
          <w:bCs/>
          <w:b/>
        </w:rPr>
        <w:t xml:space="preserve">Logistics Optimization:</w:t>
      </w:r>
      <w:r>
        <w:t xml:space="preserve"> </w:t>
      </w:r>
      <w:r>
        <w:t xml:space="preserve">Explore opportunities for more efficient transport modes (e.g., shifting from road to rail/sea where possible for primary transport) and optimizing last-mile delivery routes.</w:t>
      </w:r>
    </w:p>
    <w:p>
      <w:pPr>
        <w:numPr>
          <w:ilvl w:val="0"/>
          <w:numId w:val="1018"/>
        </w:numPr>
        <w:pStyle w:val="Compact"/>
      </w:pPr>
      <w:r>
        <w:rPr>
          <w:bCs/>
          <w:b/>
        </w:rPr>
        <w:t xml:space="preserve">Circular Economy Expansion:</w:t>
      </w:r>
      <w:r>
        <w:t xml:space="preserve"> </w:t>
      </w:r>
      <w:r>
        <w:t xml:space="preserve">Continue to strengthen take-back and refurbishment programs to maximize product and material value retention.</w:t>
      </w:r>
    </w:p>
    <w:bookmarkEnd w:id="39"/>
    <w:bookmarkEnd w:id="40"/>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jfuxoiivgl</dc:title>
  <dc:creator/>
  <dc:description>Detailed Product Carbon Footprint (PCF) analysis report for product jfuxoiivgl, adhering to GHG Protocol standards and 2026 LSR update requirements.</dc:description>
  <dc:language>en</dc:language>
  <cp:keywords/>
  <dcterms:created xsi:type="dcterms:W3CDTF">2026-07-15T08:13:47Z</dcterms:created>
  <dcterms:modified xsi:type="dcterms:W3CDTF">2026-07-15T08:13:47Z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