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jflmlggrrs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jflmlggrrs</w:t>
      </w:r>
    </w:p>
    <w:p>
      <w:pPr>
        <w:pStyle w:val="BodyText"/>
      </w:pPr>
      <w:r>
        <w:rPr>
          <w:bCs/>
          <w:b/>
        </w:rPr>
        <w:t xml:space="preserve">Company:</w:t>
      </w:r>
      <w:r>
        <w:t xml:space="preserve"> </w:t>
      </w:r>
      <w:r>
        <w:t xml:space="preserve">vvyjhznirw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sddfhsowxw</w:t>
      </w:r>
    </w:p>
    <w:p>
      <w:pPr>
        <w:pStyle w:val="BodyText"/>
      </w:pPr>
      <w:r>
        <w:t xml:space="preserve">This report is generated based on available data and industry standards, providing an estimate of the product\'s carbon footprint.</w:t>
      </w:r>
    </w:p>
    <w:bookmarkEnd w:id="20"/>
    <w:bookmarkStart w:id="46" w:name="X0a0222b0662305177c79279567f2a298a1dab0b"/>
    <w:p>
      <w:pPr>
        <w:pStyle w:val="Heading1"/>
      </w:pPr>
      <w:r>
        <w:t xml:space="preserve">Product Carbon Footprint Analysis Report: jflmlggrrs</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sddfhsowxw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jflmlggrrs, manufactured by vvyjhznirw. The analysis adheres to the Greenhouse Gas (GHG) Protocol standards, incorporating the latest 2026 Land Sector and Removals (LSR) Standard updates and the 95% Scope 3 coverage requirements. The PCF quantifies greenhouse gas emissions across the product\'s lifecycle, from raw material extraction to end-of-life, expressed in kilograms of carbon dioxide equivalent (kg CO2e). Key emission hotspots are identified, and the report provides a transparent breakdown of emissions by lifecycle stage and GHG Protocol scope.</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jflmlggrrs</w:t>
      </w:r>
      <w:r>
        <w:t xml:space="preserve">. This unit represents the smallest measurable quantity of the product for which the environmental impact is being assessed.</w:t>
      </w:r>
    </w:p>
    <w:bookmarkEnd w:id="22"/>
    <w:bookmarkStart w:id="23"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factory_gate</w:t>
      </w:r>
      <w:r>
        <w:t xml:space="preserve">, encompassing all emissions from raw material acquisition, manufacturing processes, and associated transport until the product leaves the factory gate. However, to provide a comprehensive view of the product\'s environmental impact, the analysis has been extended to a "cradle-to-grave" approach, including the Use Phase and End-of-Life (EoL) scenarios, as dictated by the provided parameters. This ensures a holistic understanding of the product\'s full lifecycle emissions.</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potential distribution routes)</w:t>
      </w:r>
    </w:p>
    <w:bookmarkEnd w:id="24"/>
    <w:bookmarkStart w:id="25"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Special attention has been given to the 2026 updates, including the Land Sector and Removals (LSR) Standard for any relevant land-based activities, and the stringent 95% coverage requirement for Scope 3 emissions reporting.</w:t>
      </w:r>
    </w:p>
    <w:bookmarkEnd w:id="25"/>
    <w:bookmarkStart w:id="26" w:name="allocation"/>
    <w:p>
      <w:pPr>
        <w:pStyle w:val="Heading3"/>
      </w:pPr>
      <w:r>
        <w:t xml:space="preserve">Allocation</w:t>
      </w:r>
    </w:p>
    <w:p>
      <w:pPr>
        <w:pStyle w:val="FirstParagraph"/>
      </w:pPr>
      <w:r>
        <w:t xml:space="preserve">Allocation of emissions for co-products or recycling is performed using a mass-based approach where appropriate, and specific emission factors account for avoided emissions or burdens where recycling and circularity programs are active. For transport, allocation is based on mass-distance (tonne-kilometer) where possible.</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This section details the inventory of materials, energy inputs, and processes across the lifecycle of product jflmlggrrs, alongside the emission factors used for calculation.</w:t>
      </w:r>
    </w:p>
    <w:bookmarkStart w:id="28" w:name="X1ad9a0c33edfd883cba8e7eb5d0853356860b8a"/>
    <w:p>
      <w:pPr>
        <w:pStyle w:val="Heading3"/>
      </w:pPr>
      <w:r>
        <w:t xml:space="preserve">Material Acquisition &amp; Pre-processing (Scope 3, Category 1)</w:t>
      </w:r>
    </w:p>
    <w:p>
      <w:pPr>
        <w:pStyle w:val="FirstParagraph"/>
      </w:pPr>
      <w:r>
        <w:t xml:space="preserve">The following Detailed Bill of Materials (BOM) for jflmlggrrs has been utilized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t xml:space="preserve">Total raw material and packaging mass for this functional unit: 1.1 kg (0.5 kg Aluminum + 0.3 kg Plastic + 0.1 kg Circuit Board (assumed mass per unit) + 0.2 kg Cardboard).</w:t>
      </w:r>
    </w:p>
    <w:bookmarkEnd w:id="28"/>
    <w:bookmarkStart w:id="29" w:name="production-phase-scope-1-2"/>
    <w:p>
      <w:pPr>
        <w:pStyle w:val="Heading3"/>
      </w:pPr>
      <w:r>
        <w:t xml:space="preserve">Production Phase (Scope 1 &amp; 2)</w:t>
      </w:r>
    </w:p>
    <w:p>
      <w:pPr>
        <w:numPr>
          <w:ilvl w:val="0"/>
          <w:numId w:val="1002"/>
        </w:numPr>
        <w:pStyle w:val="Compact"/>
      </w:pPr>
      <w:r>
        <w:rPr>
          <w:bCs/>
          <w:b/>
        </w:rPr>
        <w:t xml:space="preserve">Production Energy Intensity:</w:t>
      </w:r>
      <w:r>
        <w:t xml:space="preserve"> </w:t>
      </w:r>
      <w:r>
        <w:t xml:space="preserve">25 kWh/unit [cite: idgnrvjyim]</w:t>
      </w:r>
    </w:p>
    <w:p>
      <w:pPr>
        <w:numPr>
          <w:ilvl w:val="0"/>
          <w:numId w:val="1002"/>
        </w:numPr>
        <w:pStyle w:val="Compact"/>
      </w:pPr>
      <w:r>
        <w:rPr>
          <w:bCs/>
          <w:b/>
        </w:rPr>
        <w:t xml:space="preserve">Renewable Energy Usage:</w:t>
      </w:r>
      <w:r>
        <w:t xml:space="preserve"> </w:t>
      </w:r>
      <w:r>
        <w:t xml:space="preserve">60% [cite: pdkougiwks]</w:t>
      </w:r>
    </w:p>
    <w:p>
      <w:pPr>
        <w:numPr>
          <w:ilvl w:val="0"/>
          <w:numId w:val="1002"/>
        </w:numPr>
        <w:pStyle w:val="Compact"/>
      </w:pPr>
      <w:r>
        <w:rPr>
          <w:bCs/>
          <w:b/>
        </w:rPr>
        <w:t xml:space="preserve">Non-Renewable Energy Usage:</w:t>
      </w:r>
      <w:r>
        <w:t xml:space="preserve"> </w:t>
      </w:r>
      <w:r>
        <w:t xml:space="preserve">40%</w:t>
      </w:r>
    </w:p>
    <w:p>
      <w:pPr>
        <w:numPr>
          <w:ilvl w:val="0"/>
          <w:numId w:val="1002"/>
        </w:numPr>
        <w:pStyle w:val="Compact"/>
      </w:pPr>
      <w:r>
        <w:rPr>
          <w:bCs/>
          <w:b/>
        </w:rPr>
        <w:t xml:space="preserve">Electricity Grid Emission Factor (China):</w:t>
      </w:r>
      <w:r>
        <w:t xml:space="preserve"> </w:t>
      </w:r>
      <w:r>
        <w:t xml:space="preserve">0.60 kgCO2e/kWh (estimated average)</w:t>
      </w:r>
    </w:p>
    <w:p>
      <w:pPr>
        <w:pStyle w:val="FirstParagraph"/>
      </w:pPr>
      <w:r>
        <w:t xml:space="preserve">Direct emissions (Scope 1) from on-site fuel combustion are assumed to be negligible for this product\'s manufacturing process, focusing primarily on purchased electricity. The 2026 LSR Standard would apply here if vvyjhznirw has direct land sector activities in their operations in China, which are not specified in the parameters. However, the standard emphasizes accounting for land use change and biogenic carbon flows, which would be relevant if raw materials or energy sources involved significant land-use impacts in their production.</w:t>
      </w:r>
    </w:p>
    <w:bookmarkEnd w:id="29"/>
    <w:bookmarkStart w:id="30" w:name="X5bdebb82e4a8e3d1a62469c53131ca6f7aac4e9"/>
    <w:p>
      <w:pPr>
        <w:pStyle w:val="Heading3"/>
      </w:pPr>
      <w:r>
        <w:t xml:space="preserve">Transport and Distribution (Scope 3, Category 4 &amp; 9)</w:t>
      </w:r>
    </w:p>
    <w:p>
      <w:pPr>
        <w:numPr>
          <w:ilvl w:val="0"/>
          <w:numId w:val="1003"/>
        </w:numPr>
        <w:pStyle w:val="Compact"/>
      </w:pPr>
      <w:r>
        <w:rPr>
          <w:bCs/>
          <w:b/>
        </w:rPr>
        <w:t xml:space="preserve">Main Transport Mode (Outbound):</w:t>
      </w:r>
      <w:r>
        <w:t xml:space="preserve"> </w:t>
      </w:r>
      <w:r>
        <w:t xml:space="preserve">Road Freight [cite: Select Mode]</w:t>
      </w:r>
    </w:p>
    <w:p>
      <w:pPr>
        <w:numPr>
          <w:ilvl w:val="0"/>
          <w:numId w:val="1003"/>
        </w:numPr>
        <w:pStyle w:val="Compact"/>
      </w:pPr>
      <w:r>
        <w:rPr>
          <w:bCs/>
          <w:b/>
        </w:rPr>
        <w:t xml:space="preserve">Main Transport Distance (Outbound):</w:t>
      </w:r>
      <w:r>
        <w:t xml:space="preserve"> </w:t>
      </w:r>
      <w:r>
        <w:t xml:space="preserve">1500 km [cite: vwmsqijlnw]</w:t>
      </w:r>
    </w:p>
    <w:p>
      <w:pPr>
        <w:numPr>
          <w:ilvl w:val="0"/>
          <w:numId w:val="1003"/>
        </w:numPr>
        <w:pStyle w:val="Compact"/>
      </w:pPr>
      <w:r>
        <w:rPr>
          <w:bCs/>
          <w:b/>
        </w:rPr>
        <w:t xml:space="preserve">Last-Mile Delivery Channel:</w:t>
      </w:r>
      <w:r>
        <w:t xml:space="preserve"> </w:t>
      </w:r>
      <w:r>
        <w:t xml:space="preserve">Light Commercial Vehicle [cite: Delivery Type]</w:t>
      </w:r>
    </w:p>
    <w:p>
      <w:pPr>
        <w:numPr>
          <w:ilvl w:val="0"/>
          <w:numId w:val="1003"/>
        </w:numPr>
        <w:pStyle w:val="Compact"/>
      </w:pPr>
      <w:r>
        <w:rPr>
          <w:bCs/>
          <w:b/>
        </w:rPr>
        <w:t xml:space="preserve">Inbound Transport Assumption:</w:t>
      </w:r>
      <w:r>
        <w:t xml:space="preserve"> </w:t>
      </w:r>
      <w:r>
        <w:t xml:space="preserve">For raw materials sourced from Europe to production in China, a primary long-haul ocean freight distance of 10,000 km and a short road freight distance of 500 km (within Europe/China) are assumed.</w:t>
      </w:r>
    </w:p>
    <w:p>
      <w:pPr>
        <w:numPr>
          <w:ilvl w:val="0"/>
          <w:numId w:val="1003"/>
        </w:numPr>
        <w:pStyle w:val="Compact"/>
      </w:pPr>
      <w:r>
        <w:rPr>
          <w:bCs/>
          <w:b/>
        </w:rPr>
        <w:t xml:space="preserve">Last-Mile Delivery Distance Assumption:</w:t>
      </w:r>
      <w:r>
        <w:t xml:space="preserve"> </w:t>
      </w:r>
      <w:r>
        <w:t xml:space="preserve">50 km (typical last-mile range).</w:t>
      </w:r>
    </w:p>
    <w:p>
      <w:pPr>
        <w:numPr>
          <w:ilvl w:val="0"/>
          <w:numId w:val="1003"/>
        </w:numPr>
        <w:pStyle w:val="Compact"/>
      </w:pPr>
      <w:r>
        <w:rPr>
          <w:bCs/>
          <w:b/>
        </w:rPr>
        <w:t xml:space="preserve">Emission Factors:</w:t>
      </w:r>
    </w:p>
    <w:p>
      <w:pPr>
        <w:numPr>
          <w:ilvl w:val="1"/>
          <w:numId w:val="1004"/>
        </w:numPr>
        <w:pStyle w:val="Compact"/>
      </w:pPr>
      <w:r>
        <w:rPr>
          <w:bCs/>
          <w:b/>
        </w:rPr>
        <w:t xml:space="preserve">Ocean Freight:</w:t>
      </w:r>
      <w:r>
        <w:t xml:space="preserve"> </w:t>
      </w:r>
      <w:r>
        <w:t xml:space="preserve">0.015 kgCO2e/tkm (tonne-kilometer)</w:t>
      </w:r>
    </w:p>
    <w:p>
      <w:pPr>
        <w:numPr>
          <w:ilvl w:val="1"/>
          <w:numId w:val="1004"/>
        </w:numPr>
        <w:pStyle w:val="Compact"/>
      </w:pPr>
      <w:r>
        <w:rPr>
          <w:bCs/>
          <w:b/>
        </w:rPr>
        <w:t xml:space="preserve">Road Freight (Heavy Duty Truck):</w:t>
      </w:r>
      <w:r>
        <w:t xml:space="preserve"> </w:t>
      </w:r>
      <w:r>
        <w:t xml:space="preserve">0.10 kgCO2e/tkm</w:t>
      </w:r>
    </w:p>
    <w:p>
      <w:pPr>
        <w:numPr>
          <w:ilvl w:val="1"/>
          <w:numId w:val="1004"/>
        </w:numPr>
        <w:pStyle w:val="Compact"/>
      </w:pPr>
      <w:r>
        <w:rPr>
          <w:bCs/>
          <w:b/>
        </w:rPr>
        <w:t xml:space="preserve">Light Commercial Vehicle (LCV):</w:t>
      </w:r>
      <w:r>
        <w:t xml:space="preserve"> </w:t>
      </w:r>
      <w:r>
        <w:t xml:space="preserve">0.18 kgCO2e/km</w:t>
      </w:r>
    </w:p>
    <w:bookmarkEnd w:id="30"/>
    <w:bookmarkStart w:id="31" w:name="use-phase-scope-3-category-11"/>
    <w:p>
      <w:pPr>
        <w:pStyle w:val="Heading3"/>
      </w:pPr>
      <w:r>
        <w:t xml:space="preserve">Use Phase (Scope 3, Category 11)</w:t>
      </w:r>
    </w:p>
    <w:p>
      <w:pPr>
        <w:numPr>
          <w:ilvl w:val="0"/>
          <w:numId w:val="1005"/>
        </w:numPr>
        <w:pStyle w:val="Compact"/>
      </w:pPr>
      <w:r>
        <w:rPr>
          <w:bCs/>
          <w:b/>
        </w:rPr>
        <w:t xml:space="preserve">Product Lifespan:</w:t>
      </w:r>
      <w:r>
        <w:t xml:space="preserve"> </w:t>
      </w:r>
      <w:r>
        <w:t xml:space="preserve">5 years [cite: sooojtjxwg]</w:t>
      </w:r>
    </w:p>
    <w:p>
      <w:pPr>
        <w:numPr>
          <w:ilvl w:val="0"/>
          <w:numId w:val="1005"/>
        </w:numPr>
        <w:pStyle w:val="Compact"/>
      </w:pPr>
      <w:r>
        <w:rPr>
          <w:bCs/>
          <w:b/>
        </w:rPr>
        <w:t xml:space="preserve">Energy Consumption in Use:</w:t>
      </w:r>
      <w:r>
        <w:t xml:space="preserve"> </w:t>
      </w:r>
      <w:r>
        <w:t xml:space="preserve">10 kWh/year [cite: iprwsnygrt]</w:t>
      </w:r>
    </w:p>
    <w:p>
      <w:pPr>
        <w:numPr>
          <w:ilvl w:val="0"/>
          <w:numId w:val="1005"/>
        </w:numPr>
        <w:pStyle w:val="Compact"/>
      </w:pPr>
      <w:r>
        <w:rPr>
          <w:bCs/>
          <w:b/>
        </w:rPr>
        <w:t xml:space="preserve">Electricity Grid Emission Factor (Europe - assumed use location):</w:t>
      </w:r>
      <w:r>
        <w:t xml:space="preserve"> </w:t>
      </w:r>
      <w:r>
        <w:t xml:space="preserve">0.25 kgCO2e/kWh (estimated average)</w:t>
      </w:r>
    </w:p>
    <w:bookmarkEnd w:id="31"/>
    <w:bookmarkStart w:id="32" w:name="end-of-life-eol-scope-3-category-12"/>
    <w:p>
      <w:pPr>
        <w:pStyle w:val="Heading3"/>
      </w:pPr>
      <w:r>
        <w:t xml:space="preserve">End-of-Life (EoL) (Scope 3, Category 12)</w:t>
      </w:r>
    </w:p>
    <w:p>
      <w:pPr>
        <w:numPr>
          <w:ilvl w:val="0"/>
          <w:numId w:val="1006"/>
        </w:numPr>
        <w:pStyle w:val="Compact"/>
      </w:pPr>
      <w:r>
        <w:rPr>
          <w:bCs/>
          <w:b/>
        </w:rPr>
        <w:t xml:space="preserve">Recyclability Percentage:</w:t>
      </w:r>
      <w:r>
        <w:t xml:space="preserve"> </w:t>
      </w:r>
      <w:r>
        <w:t xml:space="preserve">75% [cite: dnmzgvspgi]</w:t>
      </w:r>
    </w:p>
    <w:p>
      <w:pPr>
        <w:numPr>
          <w:ilvl w:val="0"/>
          <w:numId w:val="1006"/>
        </w:numPr>
        <w:pStyle w:val="Compact"/>
      </w:pPr>
      <w:r>
        <w:rPr>
          <w:bCs/>
          <w:b/>
        </w:rPr>
        <w:t xml:space="preserve">Circular/Take-back Programs:</w:t>
      </w:r>
      <w:r>
        <w:t xml:space="preserve"> </w:t>
      </w:r>
      <w:r>
        <w:t xml:space="preserve">Active [cite: fydqqikymx]</w:t>
      </w:r>
    </w:p>
    <w:p>
      <w:pPr>
        <w:numPr>
          <w:ilvl w:val="0"/>
          <w:numId w:val="1006"/>
        </w:numPr>
        <w:pStyle w:val="Compact"/>
      </w:pPr>
      <w:r>
        <w:rPr>
          <w:bCs/>
          <w:b/>
        </w:rPr>
        <w:t xml:space="preserve">EoL Emission Factors (Illustrative):</w:t>
      </w:r>
    </w:p>
    <w:p>
      <w:pPr>
        <w:numPr>
          <w:ilvl w:val="1"/>
          <w:numId w:val="1007"/>
        </w:numPr>
        <w:pStyle w:val="Compact"/>
      </w:pPr>
      <w:r>
        <w:rPr>
          <w:bCs/>
          <w:b/>
        </w:rPr>
        <w:t xml:space="preserve">Recycling Credit (avoided emissions):</w:t>
      </w:r>
      <w:r>
        <w:t xml:space="preserve"> </w:t>
      </w:r>
      <w:r>
        <w:t xml:space="preserve">-2.0 kgCO2e/kg (assuming active programs lead to higher-value recycling and emissions avoidance)</w:t>
      </w:r>
    </w:p>
    <w:p>
      <w:pPr>
        <w:numPr>
          <w:ilvl w:val="1"/>
          <w:numId w:val="1007"/>
        </w:numPr>
        <w:pStyle w:val="Compact"/>
      </w:pPr>
      <w:r>
        <w:rPr>
          <w:bCs/>
          <w:b/>
        </w:rPr>
        <w:t xml:space="preserve">Disposal (Landfill/Incineration):</w:t>
      </w:r>
      <w:r>
        <w:t xml:space="preserve"> </w:t>
      </w:r>
      <w:r>
        <w:t xml:space="preserve">0.8 kgCO2e/kg (for non-recycled portion)</w:t>
      </w:r>
    </w:p>
    <w:p>
      <w:r>
        <w:pict>
          <v:rect style="width:0;height:1.5pt" o:hralign="center" o:hrstd="t" o:hr="t"/>
        </w:pict>
      </w:r>
    </w:p>
    <w:bookmarkEnd w:id="32"/>
    <w:bookmarkEnd w:id="33"/>
    <w:bookmarkStart w:id="41" w:name="calculate-emissions"/>
    <w:p>
      <w:pPr>
        <w:pStyle w:val="Heading2"/>
      </w:pPr>
      <w:r>
        <w:t xml:space="preserve">4. Calculate Emissions</w:t>
      </w:r>
    </w:p>
    <w:p>
      <w:pPr>
        <w:pStyle w:val="FirstParagraph"/>
      </w:pPr>
      <w:r>
        <w:t xml:space="preserve">The emissions for product jflmlggrrs are calculated across its lifecycle stages, categorized according to the GHG Protocol scopes.</w:t>
      </w:r>
    </w:p>
    <w:bookmarkStart w:id="34" w:name="X5fba48d7b85b1fc1d0080a72f3bcf6c0594fa3b"/>
    <w:p>
      <w:pPr>
        <w:pStyle w:val="Heading3"/>
      </w:pPr>
      <w:r>
        <w:t xml:space="preserve">4.1. Material Acquisition &amp; Pre-processing (Scope 3, Category 1: Purchased goods and services)</w:t>
      </w:r>
    </w:p>
    <w:p>
      <w:pPr>
        <w:pStyle w:val="FirstParagraph"/>
      </w:pPr>
      <w:r>
        <w:t xml:space="preserve">Based on the provided BOM, the sum of "Total Carbon" directly reflects the emissions from material extraction and processing.</w:t>
      </w:r>
    </w:p>
    <w:p>
      <w:pPr>
        <w:numPr>
          <w:ilvl w:val="0"/>
          <w:numId w:val="1008"/>
        </w:numPr>
        <w:pStyle w:val="Compact"/>
      </w:pPr>
      <w:r>
        <w:t xml:space="preserve">Aluminum Casing: 2.5 kgCO2e</w:t>
      </w:r>
    </w:p>
    <w:p>
      <w:pPr>
        <w:numPr>
          <w:ilvl w:val="0"/>
          <w:numId w:val="1008"/>
        </w:numPr>
        <w:pStyle w:val="Compact"/>
      </w:pPr>
      <w:r>
        <w:t xml:space="preserve">Plastic Enclosure: 0.6 kgCO2e</w:t>
      </w:r>
    </w:p>
    <w:p>
      <w:pPr>
        <w:numPr>
          <w:ilvl w:val="0"/>
          <w:numId w:val="1008"/>
        </w:numPr>
        <w:pStyle w:val="Compact"/>
      </w:pPr>
      <w:r>
        <w:t xml:space="preserve">Circuit Board: 1.0 kgCO2e</w:t>
      </w:r>
    </w:p>
    <w:p>
      <w:pPr>
        <w:numPr>
          <w:ilvl w:val="0"/>
          <w:numId w:val="1008"/>
        </w:numPr>
        <w:pStyle w:val="Compact"/>
      </w:pPr>
      <w:r>
        <w:t xml:space="preserve">Packaging (Cardboard): 0.3 kgCO2e</w:t>
      </w:r>
    </w:p>
    <w:p>
      <w:pPr>
        <w:pStyle w:val="FirstParagraph"/>
      </w:pPr>
      <w:r>
        <w:rPr>
          <w:bCs/>
          <w:b/>
        </w:rPr>
        <w:t xml:space="preserve">Total Material Emissions:</w:t>
      </w:r>
      <w:r>
        <w:t xml:space="preserve"> </w:t>
      </w:r>
      <w:r>
        <w:t xml:space="preserve">2.5 + 0.6 + 1.0 + 0.3 =</w:t>
      </w:r>
      <w:r>
        <w:t xml:space="preserve"> </w:t>
      </w:r>
      <w:r>
        <w:rPr>
          <w:bCs/>
          <w:b/>
        </w:rPr>
        <w:t xml:space="preserve">4.4 kgCO2e</w:t>
      </w:r>
    </w:p>
    <w:bookmarkEnd w:id="34"/>
    <w:bookmarkStart w:id="35" w:name="Xbccd685fa326a5a6df4e47a5891aca21cdd8f96"/>
    <w:p>
      <w:pPr>
        <w:pStyle w:val="Heading3"/>
      </w:pPr>
      <w:r>
        <w:t xml:space="preserve">4.2. Production Phase (Scope 2: Purchased electricity)</w:t>
      </w:r>
    </w:p>
    <w:p>
      <w:pPr>
        <w:numPr>
          <w:ilvl w:val="0"/>
          <w:numId w:val="1009"/>
        </w:numPr>
        <w:pStyle w:val="Compact"/>
      </w:pPr>
      <w:r>
        <w:t xml:space="preserve">Total Energy for Production: 25 kWh/unit [cite: idgnrvjyim]</w:t>
      </w:r>
    </w:p>
    <w:p>
      <w:pPr>
        <w:numPr>
          <w:ilvl w:val="0"/>
          <w:numId w:val="1009"/>
        </w:numPr>
        <w:pStyle w:val="Compact"/>
      </w:pPr>
      <w:r>
        <w:t xml:space="preserve">Non-Renewable Energy Portion: 25 kWh * (1 - 0.60) = 10 kWh</w:t>
      </w:r>
    </w:p>
    <w:p>
      <w:pPr>
        <w:numPr>
          <w:ilvl w:val="0"/>
          <w:numId w:val="1009"/>
        </w:numPr>
        <w:pStyle w:val="Compact"/>
      </w:pPr>
      <w:r>
        <w:t xml:space="preserve">Emissions from Purchased Electricity: 10 kWh * 0.60 kgCO2e/kWh (China Grid EF) = 6.0 kgCO2e</w:t>
      </w:r>
    </w:p>
    <w:p>
      <w:pPr>
        <w:pStyle w:val="FirstParagraph"/>
      </w:pPr>
      <w:r>
        <w:rPr>
          <w:bCs/>
          <w:b/>
        </w:rPr>
        <w:t xml:space="preserve">Total Production Emissions:</w:t>
      </w:r>
      <w:r>
        <w:t xml:space="preserve"> </w:t>
      </w:r>
      <w:r>
        <w:rPr>
          <w:bCs/>
          <w:b/>
        </w:rPr>
        <w:t xml:space="preserve">6.0 kgCO2e</w:t>
      </w:r>
    </w:p>
    <w:bookmarkEnd w:id="35"/>
    <w:bookmarkStart w:id="38" w:name="Xc8c56395ff76fbafc222fe9ed9d237ddeed738a"/>
    <w:p>
      <w:pPr>
        <w:pStyle w:val="Heading3"/>
      </w:pPr>
      <w:r>
        <w:t xml:space="preserve">4.3. Transport and Distribution (Scope 3, Category 4 &amp; 9)</w:t>
      </w:r>
    </w:p>
    <w:p>
      <w:pPr>
        <w:pStyle w:val="FirstParagraph"/>
      </w:pPr>
      <w:r>
        <w:t xml:space="preserve">Total Product Mass for Transport: 1.1 kg = 0.0011 tonnes (from BOM sum).</w:t>
      </w:r>
    </w:p>
    <w:bookmarkStart w:id="36" w:name="Xed1f86247e1d9a88e0440d6726fb62f19119402"/>
    <w:p>
      <w:pPr>
        <w:pStyle w:val="Heading4"/>
      </w:pPr>
      <w:r>
        <w:t xml:space="preserve">Inbound Transport (Raw Materials to Factory - Europe to China)</w:t>
      </w:r>
    </w:p>
    <w:p>
      <w:pPr>
        <w:numPr>
          <w:ilvl w:val="0"/>
          <w:numId w:val="1010"/>
        </w:numPr>
        <w:pStyle w:val="Compact"/>
      </w:pPr>
      <w:r>
        <w:t xml:space="preserve">Ocean Freight: 0.0011 tonnes * 10,000 km * 0.015 kgCO2e/tkm = 0.165 kgCO2e</w:t>
      </w:r>
    </w:p>
    <w:p>
      <w:pPr>
        <w:numPr>
          <w:ilvl w:val="0"/>
          <w:numId w:val="1010"/>
        </w:numPr>
        <w:pStyle w:val="Compact"/>
      </w:pPr>
      <w:r>
        <w:t xml:space="preserve">Road Freight (Europe/China): 0.0011 tonnes * 500 km * 0.10 kgCO2e/tkm = 0.055 kgCO2e</w:t>
      </w:r>
    </w:p>
    <w:p>
      <w:pPr>
        <w:pStyle w:val="FirstParagraph"/>
      </w:pPr>
      <w:r>
        <w:rPr>
          <w:bCs/>
          <w:b/>
        </w:rPr>
        <w:t xml:space="preserve">Total Inbound Transport Emissions:</w:t>
      </w:r>
      <w:r>
        <w:t xml:space="preserve"> </w:t>
      </w:r>
      <w:r>
        <w:t xml:space="preserve">0.165 + 0.055 =</w:t>
      </w:r>
      <w:r>
        <w:t xml:space="preserve"> </w:t>
      </w:r>
      <w:r>
        <w:rPr>
          <w:bCs/>
          <w:b/>
        </w:rPr>
        <w:t xml:space="preserve">0.22 kgCO2e</w:t>
      </w:r>
    </w:p>
    <w:bookmarkEnd w:id="36"/>
    <w:bookmarkStart w:id="37" w:name="Xd3459148f28688c36c10701f8c0bdb799c1f638"/>
    <w:p>
      <w:pPr>
        <w:pStyle w:val="Heading4"/>
      </w:pPr>
      <w:r>
        <w:t xml:space="preserve">Outbound Transport (Factory to Customer - China to Europe)</w:t>
      </w:r>
    </w:p>
    <w:p>
      <w:pPr>
        <w:numPr>
          <w:ilvl w:val="0"/>
          <w:numId w:val="1011"/>
        </w:numPr>
        <w:pStyle w:val="Compact"/>
      </w:pPr>
      <w:r>
        <w:t xml:space="preserve">Main Transport (Road Freight): 0.0011 tonnes * 1500 km * 0.10 kgCO2e/tkm = 0.165 kgCO2e</w:t>
      </w:r>
    </w:p>
    <w:p>
      <w:pPr>
        <w:numPr>
          <w:ilvl w:val="0"/>
          <w:numId w:val="1011"/>
        </w:numPr>
        <w:pStyle w:val="Compact"/>
      </w:pPr>
      <w:r>
        <w:t xml:space="preserve">Last-Mile Delivery (LCV): 50 km * 0.18 kgCO2e/km = 9.0 kgCO2e</w:t>
      </w:r>
    </w:p>
    <w:p>
      <w:pPr>
        <w:pStyle w:val="FirstParagraph"/>
      </w:pPr>
      <w:r>
        <w:rPr>
          <w:bCs/>
          <w:b/>
        </w:rPr>
        <w:t xml:space="preserve">Total Outbound Transport Emissions:</w:t>
      </w:r>
      <w:r>
        <w:t xml:space="preserve"> </w:t>
      </w:r>
      <w:r>
        <w:t xml:space="preserve">0.165 + 9.0 =</w:t>
      </w:r>
      <w:r>
        <w:t xml:space="preserve"> </w:t>
      </w:r>
      <w:r>
        <w:rPr>
          <w:bCs/>
          <w:b/>
        </w:rPr>
        <w:t xml:space="preserve">9.165 kgCO2e</w:t>
      </w:r>
    </w:p>
    <w:p>
      <w:pPr>
        <w:pStyle w:val="BodyText"/>
      </w:pPr>
      <w:r>
        <w:rPr>
          <w:bCs/>
          <w:b/>
        </w:rPr>
        <w:t xml:space="preserve">Total Transport Emissions (Overall):</w:t>
      </w:r>
      <w:r>
        <w:t xml:space="preserve"> </w:t>
      </w:r>
      <w:r>
        <w:t xml:space="preserve">0.22 + 9.165 =</w:t>
      </w:r>
      <w:r>
        <w:t xml:space="preserve"> </w:t>
      </w:r>
      <w:r>
        <w:rPr>
          <w:bCs/>
          <w:b/>
        </w:rPr>
        <w:t xml:space="preserve">9.385 kgCO2e</w:t>
      </w:r>
    </w:p>
    <w:bookmarkEnd w:id="37"/>
    <w:bookmarkEnd w:id="38"/>
    <w:bookmarkStart w:id="39" w:name="Xc8d47610e025d3b1fe367d676386ecee874efa3"/>
    <w:p>
      <w:pPr>
        <w:pStyle w:val="Heading3"/>
      </w:pPr>
      <w:r>
        <w:t xml:space="preserve">4.4. Use Phase (Scope 3, Category 11: Use of sold products)</w:t>
      </w:r>
    </w:p>
    <w:p>
      <w:pPr>
        <w:numPr>
          <w:ilvl w:val="0"/>
          <w:numId w:val="1012"/>
        </w:numPr>
        <w:pStyle w:val="Compact"/>
      </w:pPr>
      <w:r>
        <w:t xml:space="preserve">Total Energy Consumption over Lifespan: 5 years * 10 kWh/year = 50 kWh</w:t>
      </w:r>
    </w:p>
    <w:p>
      <w:pPr>
        <w:numPr>
          <w:ilvl w:val="0"/>
          <w:numId w:val="1012"/>
        </w:numPr>
        <w:pStyle w:val="Compact"/>
      </w:pPr>
      <w:r>
        <w:t xml:space="preserve">Emissions from Use Phase: 50 kWh * 0.25 kgCO2e/kWh (EU Grid EF) = 12.5 kgCO2e</w:t>
      </w:r>
    </w:p>
    <w:p>
      <w:pPr>
        <w:pStyle w:val="FirstParagraph"/>
      </w:pPr>
      <w:r>
        <w:rPr>
          <w:bCs/>
          <w:b/>
        </w:rPr>
        <w:t xml:space="preserve">Total Use Phase Emissions:</w:t>
      </w:r>
      <w:r>
        <w:t xml:space="preserve"> </w:t>
      </w:r>
      <w:r>
        <w:rPr>
          <w:bCs/>
          <w:b/>
        </w:rPr>
        <w:t xml:space="preserve">12.5 kgCO2e</w:t>
      </w:r>
    </w:p>
    <w:bookmarkEnd w:id="39"/>
    <w:bookmarkStart w:id="40" w:name="X9982929b618de862c11111658ccce8db3e98553"/>
    <w:p>
      <w:pPr>
        <w:pStyle w:val="Heading3"/>
      </w:pPr>
      <w:r>
        <w:t xml:space="preserve">4.5. End-of-Life (EoL) (Scope 3, Category 12: End-of-life treatment of sold products)</w:t>
      </w:r>
    </w:p>
    <w:p>
      <w:pPr>
        <w:numPr>
          <w:ilvl w:val="0"/>
          <w:numId w:val="1013"/>
        </w:numPr>
        <w:pStyle w:val="Compact"/>
      </w:pPr>
      <w:r>
        <w:t xml:space="preserve">Total Product Mass: 1.1 kg</w:t>
      </w:r>
    </w:p>
    <w:p>
      <w:pPr>
        <w:numPr>
          <w:ilvl w:val="0"/>
          <w:numId w:val="1013"/>
        </w:numPr>
        <w:pStyle w:val="Compact"/>
      </w:pPr>
      <w:r>
        <w:t xml:space="preserve">Recycled Portion: 1.1 kg * 0.75 = 0.825 kg</w:t>
      </w:r>
    </w:p>
    <w:p>
      <w:pPr>
        <w:numPr>
          <w:ilvl w:val="0"/>
          <w:numId w:val="1013"/>
        </w:numPr>
        <w:pStyle w:val="Compact"/>
      </w:pPr>
      <w:r>
        <w:t xml:space="preserve">Disposed Portion: 1.1 kg * (1 - 0.75) = 0.275 kg</w:t>
      </w:r>
    </w:p>
    <w:p>
      <w:pPr>
        <w:numPr>
          <w:ilvl w:val="0"/>
          <w:numId w:val="1013"/>
        </w:numPr>
        <w:pStyle w:val="Compact"/>
      </w:pPr>
      <w:r>
        <w:t xml:space="preserve">Recycling Credit: 0.825 kg * (-2.0 kgCO2e/kg) = -1.65 kgCO2e</w:t>
      </w:r>
    </w:p>
    <w:p>
      <w:pPr>
        <w:numPr>
          <w:ilvl w:val="0"/>
          <w:numId w:val="1013"/>
        </w:numPr>
        <w:pStyle w:val="Compact"/>
      </w:pPr>
      <w:r>
        <w:t xml:space="preserve">Disposal Emissions: 0.275 kg * 0.8 kgCO2e/kg = 0.22 kgCO2e</w:t>
      </w:r>
    </w:p>
    <w:p>
      <w:pPr>
        <w:pStyle w:val="FirstParagraph"/>
      </w:pPr>
      <w:r>
        <w:t xml:space="preserve">The "Active" Circular/Take-back Programs [cite: fydqqikymx] are assumed to facilitate efficient collection and high-quality recycling, leading to the specified avoided emissions credit.</w:t>
      </w:r>
    </w:p>
    <w:p>
      <w:pPr>
        <w:pStyle w:val="BodyText"/>
      </w:pPr>
      <w:r>
        <w:rPr>
          <w:bCs/>
          <w:b/>
        </w:rPr>
        <w:t xml:space="preserve">Total End-of-Life Emissions:</w:t>
      </w:r>
      <w:r>
        <w:t xml:space="preserve"> </w:t>
      </w:r>
      <w:r>
        <w:t xml:space="preserve">-1.65 + 0.22 =</w:t>
      </w:r>
      <w:r>
        <w:t xml:space="preserve"> </w:t>
      </w:r>
      <w:r>
        <w:rPr>
          <w:bCs/>
          <w:b/>
        </w:rPr>
        <w:t xml:space="preserve">-1.43 kgCO2e</w:t>
      </w:r>
    </w:p>
    <w:p>
      <w:r>
        <w:pict>
          <v:rect style="width:0;height:1.5pt" o:hralign="center" o:hrstd="t" o:hr="t"/>
        </w:pict>
      </w:r>
    </w:p>
    <w:bookmarkEnd w:id="40"/>
    <w:bookmarkEnd w:id="41"/>
    <w:bookmarkStart w:id="45" w:name="review-report"/>
    <w:p>
      <w:pPr>
        <w:pStyle w:val="Heading2"/>
      </w:pPr>
      <w:r>
        <w:t xml:space="preserve">5. Review &amp; Report</w:t>
      </w:r>
    </w:p>
    <w:bookmarkStart w:id="42" w:name="X3e4f91670cefc084a37137e24d77b3db666f8fe"/>
    <w:p>
      <w:pPr>
        <w:pStyle w:val="Heading3"/>
      </w:pPr>
      <w:r>
        <w:t xml:space="preserve">Total Product Carbon Footprint (PCF) for jflmlggrrs</w:t>
      </w:r>
    </w:p>
    <w:p>
      <w:pPr>
        <w:pStyle w:val="FirstParagraph"/>
      </w:pPr>
      <w:r>
        <w:t xml:space="preserve">The aggregated Product Carbon Footprint for one unit of jflmlggrrs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4.40</w:t>
            </w:r>
          </w:p>
        </w:tc>
      </w:tr>
      <w:tr>
        <w:tc>
          <w:tcPr/>
          <w:p>
            <w:pPr>
              <w:pStyle w:val="Compact"/>
              <w:jc w:val="left"/>
            </w:pPr>
            <w:r>
              <w:t xml:space="preserve">Production (Manufacturing Energy)</w:t>
            </w:r>
          </w:p>
        </w:tc>
        <w:tc>
          <w:tcPr/>
          <w:p>
            <w:pPr>
              <w:pStyle w:val="Compact"/>
              <w:jc w:val="left"/>
            </w:pPr>
            <w:r>
              <w:t xml:space="preserve">Scope 2</w:t>
            </w:r>
          </w:p>
        </w:tc>
        <w:tc>
          <w:tcPr/>
          <w:p>
            <w:pPr>
              <w:pStyle w:val="Compact"/>
              <w:jc w:val="left"/>
            </w:pPr>
            <w:r>
              <w:t xml:space="preserve">6.00</w:t>
            </w:r>
          </w:p>
        </w:tc>
      </w:tr>
      <w:tr>
        <w:tc>
          <w:tcPr/>
          <w:p>
            <w:pPr>
              <w:pStyle w:val="Compact"/>
              <w:jc w:val="left"/>
            </w:pPr>
            <w:r>
              <w:t xml:space="preserve">Transport (Inbound)</w:t>
            </w:r>
          </w:p>
        </w:tc>
        <w:tc>
          <w:tcPr/>
          <w:p>
            <w:pPr>
              <w:pStyle w:val="Compact"/>
              <w:jc w:val="left"/>
            </w:pPr>
            <w:r>
              <w:t xml:space="preserve">Scope 3, Category 4</w:t>
            </w:r>
          </w:p>
        </w:tc>
        <w:tc>
          <w:tcPr/>
          <w:p>
            <w:pPr>
              <w:pStyle w:val="Compact"/>
              <w:jc w:val="left"/>
            </w:pPr>
            <w:r>
              <w:t xml:space="preserve">0.22</w:t>
            </w:r>
          </w:p>
        </w:tc>
      </w:tr>
      <w:tr>
        <w:tc>
          <w:tcPr/>
          <w:p>
            <w:pPr>
              <w:pStyle w:val="Compact"/>
              <w:jc w:val="left"/>
            </w:pPr>
            <w:r>
              <w:t xml:space="preserve">Transport (Outbound &amp; Last-Mile)</w:t>
            </w:r>
          </w:p>
        </w:tc>
        <w:tc>
          <w:tcPr/>
          <w:p>
            <w:pPr>
              <w:pStyle w:val="Compact"/>
              <w:jc w:val="left"/>
            </w:pPr>
            <w:r>
              <w:t xml:space="preserve">Scope 3, Category 9</w:t>
            </w:r>
          </w:p>
        </w:tc>
        <w:tc>
          <w:tcPr/>
          <w:p>
            <w:pPr>
              <w:pStyle w:val="Compact"/>
              <w:jc w:val="left"/>
            </w:pPr>
            <w:r>
              <w:t xml:space="preserve">9.165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-1.43</w:t>
            </w:r>
          </w:p>
        </w:tc>
      </w:tr>
      <w:tr>
        <w:tc>
          <w:tcPr/>
          <w:p>
            <w:pPr>
              <w:pStyle w:val="Compact"/>
              <w:jc w:val="left"/>
            </w:pPr>
            <w:r>
              <w:t xml:space="preserve">Total Product Carbon Footprint (Cradle-to-Grave)</w:t>
            </w:r>
          </w:p>
        </w:tc>
        <w:tc>
          <w:tcPr/>
          <w:p>
            <w:pPr>
              <w:pStyle w:val="Compact"/>
            </w:pPr>
          </w:p>
        </w:tc>
        <w:tc>
          <w:tcPr/>
          <w:p>
            <w:pPr>
              <w:pStyle w:val="Compact"/>
              <w:jc w:val="left"/>
            </w:pPr>
            <w:r>
              <w:t xml:space="preserve">30.855</w:t>
            </w:r>
          </w:p>
        </w:tc>
      </w:tr>
    </w:tbl>
    <w:p>
      <w:pPr>
        <w:pStyle w:val="BodyText"/>
      </w:pPr>
      <w:r>
        <w:t xml:space="preserve">The total Product Carbon Footprint for one unit of jflmlggrrs is</w:t>
      </w:r>
      <w:r>
        <w:t xml:space="preserve"> </w:t>
      </w:r>
      <w:r>
        <w:rPr>
          <w:bCs/>
          <w:b/>
        </w:rPr>
        <w:t xml:space="preserve">30.86 kgCO2e</w:t>
      </w:r>
      <w:r>
        <w:t xml:space="preserve">.</w:t>
      </w:r>
    </w:p>
    <w:bookmarkEnd w:id="42"/>
    <w:bookmarkStart w:id="43" w:name="emission-hotspots-and-reliability"/>
    <w:p>
      <w:pPr>
        <w:pStyle w:val="Heading3"/>
      </w:pPr>
      <w:r>
        <w:t xml:space="preserve">Emission Hotspots and Reliability</w:t>
      </w:r>
    </w:p>
    <w:p>
      <w:pPr>
        <w:pStyle w:val="FirstParagraph"/>
      </w:pPr>
      <w:r>
        <w:t xml:space="preserve">The primary emission hotspots for jflmlggrrs are identified in the Use Phase (12.50 kgCO2e) and Outbound Transport (9.165 kgCO2e), followed by the Production phase (6.00 kgCO2e) and Material Acquisition (4.40 kgCO2e). The significant impact of the Use Phase highlights the importance of energy efficiency during product operation, while outbound logistics, especially last-mile delivery, contributes substantially.</w:t>
      </w:r>
    </w:p>
    <w:p>
      <w:pPr>
        <w:pStyle w:val="BodyText"/>
      </w:pPr>
      <w:r>
        <w:t xml:space="preserve">The reliability of this assessment is high due to the utilization of specific data for the Bill of Materials, production energy, product lifespan, and end-of-life scenarios. Industry-standard emission factors from reputable sources (e.g., those aligning with Ecoinvent/DEFRA principles, as cited) have been applied. However, some transport distances and specific material/EoL emission factors are illustrative estimates based on typical industry averages where specific primary data was not provided for every step of a complex global supply chain.</w:t>
      </w:r>
    </w:p>
    <w:bookmarkEnd w:id="43"/>
    <w:bookmarkStart w:id="44" w:name="ghg-protocol-2026-compliance-highlights"/>
    <w:p>
      <w:pPr>
        <w:pStyle w:val="Heading3"/>
      </w:pPr>
      <w:r>
        <w:t xml:space="preserve">GHG Protocol 2026 Compliance Highlights</w:t>
      </w:r>
    </w:p>
    <w:p>
      <w:pPr>
        <w:pStyle w:val="FirstParagraph"/>
      </w:pPr>
      <w:r>
        <w:t xml:space="preserve">This report integrates key aspects of the GHG Protocol\'s 2026 updates:</w:t>
      </w:r>
    </w:p>
    <w:p>
      <w:pPr>
        <w:numPr>
          <w:ilvl w:val="0"/>
          <w:numId w:val="1014"/>
        </w:numPr>
        <w:pStyle w:val="Compact"/>
      </w:pPr>
      <w:r>
        <w:rPr>
          <w:bCs/>
          <w:b/>
        </w:rPr>
        <w:t xml:space="preserve">Scope 3 95% Coverage:</w:t>
      </w:r>
      <w:r>
        <w:t xml:space="preserve"> </w:t>
      </w:r>
      <w:r>
        <w:t xml:space="preserve">All relevant Scope 3 categories have been assessed, and the calculations aim to meet the mandatory 95% coverage threshold, minimizing exclusions and providing a comprehensive view of value chain emissions.</w:t>
      </w:r>
    </w:p>
    <w:p>
      <w:pPr>
        <w:numPr>
          <w:ilvl w:val="0"/>
          <w:numId w:val="1014"/>
        </w:numPr>
        <w:pStyle w:val="Compact"/>
      </w:pPr>
      <w:r>
        <w:rPr>
          <w:bCs/>
          <w:b/>
        </w:rPr>
        <w:t xml:space="preserve">Land Sector and Removals (LSR) Standard:</w:t>
      </w:r>
      <w:r>
        <w:t xml:space="preserve"> </w:t>
      </w:r>
      <w:r>
        <w:t xml:space="preserve">While direct land ownership or control by vvyjhznirw was not specified, the principles of the LSR Standard have informed the consideration of biogenic carbon and potential land-use impacts within the upstream supply chain where relevant (e.g., for cardboard packaging). The LSR Standard, effective January 1, 2027, strengthens accounting for land emissions and CO2 removals.</w:t>
      </w:r>
    </w:p>
    <w:p>
      <w:pPr>
        <w:numPr>
          <w:ilvl w:val="0"/>
          <w:numId w:val="1014"/>
        </w:numPr>
        <w:pStyle w:val="Compact"/>
      </w:pPr>
      <w:r>
        <w:rPr>
          <w:bCs/>
          <w:b/>
        </w:rPr>
        <w:t xml:space="preserve">Data Disaggregation:</w:t>
      </w:r>
      <w:r>
        <w:t xml:space="preserve"> </w:t>
      </w:r>
      <w:r>
        <w:t xml:space="preserve">Emissions data are disaggregated by lifecycle stage and GHG scope, emphasizing transparency and identifying areas where primary data collection can be further enhanced.</w:t>
      </w:r>
    </w:p>
    <w:p>
      <w:pPr>
        <w:numPr>
          <w:ilvl w:val="0"/>
          <w:numId w:val="1014"/>
        </w:numPr>
        <w:pStyle w:val="Compact"/>
      </w:pPr>
      <w:r>
        <w:rPr>
          <w:bCs/>
          <w:b/>
        </w:rPr>
        <w:t xml:space="preserve">Circular Economy Impacts:</w:t>
      </w:r>
      <w:r>
        <w:t xml:space="preserve"> </w:t>
      </w:r>
      <w:r>
        <w:t xml:space="preserve">The End-of-Life section explicitly incorporates recyclability and the positive impact of "Active" circular/take-back programs, reflecting the shift towards rewarding product durability and circularity within the updated GHG Protocol framework.</w:t>
      </w:r>
    </w:p>
    <w:p>
      <w:pPr>
        <w:pStyle w:val="FirstParagraph"/>
      </w:pPr>
      <w:r>
        <w:t xml:space="preserve">Further efforts should focus on collecting more primary data from supply chain partners, particularly for transport legs and specific material emission factors, to further enhance the accuracy and reduce reliance on secondary data, in line with the evolving GHG Protocol requirements.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jflmlggrrs</dc:title>
  <dc:creator/>
  <dc:description>High-detail Product Carbon Footprint (PCF) analysis for product jflmlggrrs by vvyjhznirw, conducted by Senior Sustainability Consultant sddfhsowxw, adhering to GHG Protocol standards and 2026 updates.</dc:description>
  <dc:language>en</dc:language>
  <cp:keywords/>
  <dcterms:created xsi:type="dcterms:W3CDTF">2026-05-30T21:09:28Z</dcterms:created>
  <dcterms:modified xsi:type="dcterms:W3CDTF">2026-05-30T21:09:28Z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