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jetnythpth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jetnythpth</w:t>
      </w:r>
    </w:p>
    <w:p>
      <w:pPr>
        <w:pStyle w:val="BodyText"/>
      </w:pPr>
      <w:r>
        <w:rPr>
          <w:bCs/>
          <w:b/>
        </w:rPr>
        <w:t xml:space="preserve">Company Name:</w:t>
      </w:r>
      <w:r>
        <w:t xml:space="preserve"> </w:t>
      </w:r>
      <w:r>
        <w:t xml:space="preserve">yrmnumhrhq</w:t>
      </w:r>
    </w:p>
    <w:p>
      <w:pPr>
        <w:pStyle w:val="BodyText"/>
      </w:pPr>
      <w:r>
        <w:rPr>
          <w:bCs/>
          <w:b/>
        </w:rPr>
        <w:t xml:space="preserve">Senior Sustainability Consultant:</w:t>
      </w:r>
      <w:r>
        <w:t xml:space="preserve"> </w:t>
      </w:r>
      <w:r>
        <w:t xml:space="preserve">dzoegvmtpq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values and assumptions may influence the outcomes.</w:t>
      </w:r>
    </w:p>
    <w:bookmarkEnd w:id="20"/>
    <w:bookmarkStart w:id="21" w:name="X323d33e946799cf4805ecf57fe432e6806a7863"/>
    <w:p>
      <w:pPr>
        <w:pStyle w:val="Heading1"/>
      </w:pPr>
      <w:r>
        <w:t xml:space="preserve">Product Carbon Footprint Analysis Report for jetnythpth</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"jetnythpth," manufactured by yrmnumhrhq. The analysis was conducted by dzoegvmtpq, a Senior Sustainability Consultant specializing in GHG Protocol. Adhering strictly to the Greenhouse Gas Protocol standards, including the 2026 Land Sector and Removals (LSR) update, and aiming for at least 95% Scope 3 coverage, this assessment quantifies the greenhouse gas emissions across the product\'s lifecycle. Key insights include a detailed breakdown of emissions from raw material acquisition, production, transportation, use phase, and end-of-life, highlighting significant hotspots and opportunities for reduction.</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was performed following the five-step methodology recommended by the GHG Protocol.</w:t>
      </w:r>
    </w:p>
    <w:bookmarkStart w:id="23"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analysis is based on a functional unit of 1.0 unit of \'jetnythpth\'. This represents the primary intended function and quantity for which the PCF is calculated.</w:t>
      </w:r>
    </w:p>
    <w:p>
      <w:pPr>
        <w:numPr>
          <w:ilvl w:val="0"/>
          <w:numId w:val="1001"/>
        </w:numPr>
        <w:pStyle w:val="Compact"/>
      </w:pPr>
      <w:r>
        <w:rPr>
          <w:bCs/>
          <w:b/>
        </w:rPr>
        <w:t xml:space="preserve">System Boundary:</w:t>
      </w:r>
      <w:r>
        <w:t xml:space="preserve"> </w:t>
      </w:r>
      <w:r>
        <w:t xml:space="preserve">The system boundary for this analysis is defined as \'factory_gate\', encompassing all upstream processes including raw material extraction, processing, inbound logistics, and the manufacturing processes up to the point the finished product leaves the factory. Additionally, as per the report requirements, the analysis extends to include the Use Phase and End-of-Life (EoL) scenarios as downstream Scope 3 emissions.</w:t>
      </w:r>
    </w:p>
    <w:p>
      <w:pPr>
        <w:numPr>
          <w:ilvl w:val="0"/>
          <w:numId w:val="1001"/>
        </w:numPr>
        <w:pStyle w:val="Compact"/>
      </w:pPr>
      <w:r>
        <w:rPr>
          <w:bCs/>
          <w:b/>
        </w:rPr>
        <w:t xml:space="preserve">Geographic Scope:</w:t>
      </w:r>
      <w:r>
        <w:t xml:space="preserve"> </w:t>
      </w:r>
      <w:r>
        <w:t xml:space="preserve">The final production country for \'jetnythpth\' is China. The supply chain focus for upstream activities is Europe-focused, indicating that typical European supply chain practices and emission factors were considered where specific data was not available for direct sourcing from China.</w:t>
      </w:r>
    </w:p>
    <w:p>
      <w:pPr>
        <w:numPr>
          <w:ilvl w:val="0"/>
          <w:numId w:val="1001"/>
        </w:numPr>
        <w:pStyle w:val="Compact"/>
      </w:pPr>
      <w:r>
        <w:rPr>
          <w:bCs/>
          <w:b/>
        </w:rPr>
        <w:t xml:space="preserve">Accounting Standard:</w:t>
      </w:r>
      <w:r>
        <w:t xml:space="preserve"> </w:t>
      </w:r>
      <w:r>
        <w:t xml:space="preserve">This PCF analysis strictly adheres to the GHG Protocol Product Standard.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Emissions from shared processes or co-products are allocated to the functional unit primarily based on mass, where applicable, or economic value, in line with GHG Protocol guidance. For this product, direct attribution of material and energy inputs to the functional unit has been prioritized.</w:t>
      </w:r>
    </w:p>
    <w:p>
      <w:r>
        <w:pict>
          <v:rect style="width:0;height:1.5pt" o:hralign="center" o:hrstd="t" o:hr="t"/>
        </w:pict>
      </w:r>
    </w:p>
    <w:bookmarkEnd w:id="23"/>
    <w:bookmarkEnd w:id="24"/>
    <w:bookmarkStart w:id="31"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primary and secondary data collected to quantify emissions.</w:t>
      </w:r>
    </w:p>
    <w:bookmarkStart w:id="25" w:name="X902b4f61c17a8e662e5bdc254fa480b35b237ec"/>
    <w:p>
      <w:pPr>
        <w:pStyle w:val="Heading3"/>
      </w:pPr>
      <w:r>
        <w:t xml:space="preserve">2.1. Bill of Materials (BOM) Data and Material Impact</w:t>
      </w:r>
    </w:p>
    <w:p>
      <w:pPr>
        <w:pStyle w:val="FirstParagraph"/>
      </w:pPr>
      <w:r>
        <w:t xml:space="preserve">The detailed Bill of Materials (BOM) provided by yrmnumhrhq for \'jetnythpth\' (grznsjsx) was utilized for a high-accuracy material impact calculation. The "Total Carbon" value provided for each item in the BOM already accounts for the material\'s cradle-to-gate emissions, including raw material extraction, processing, and manufacturing.</w:t>
      </w:r>
    </w:p>
    <w:p>
      <w:pPr>
        <w:pStyle w:val="BodyText"/>
      </w:pPr>
      <w:r>
        <w:t xml:space="preserve">For calculation purposes, the provided BOM data `grznsjsx` has been interpreted as follows:</w:t>
      </w:r>
      <w:r>
        <w:t xml:space="preserve"> </w:t>
      </w:r>
      <w:r>
        <w:rPr>
          <w:rStyle w:val="VerbatimChar"/>
        </w:rPr>
        <w:t xml:space="preserve">1,Steel Frame,Metal,Fabrication,2,kg,2.5,5.0;2,Plastic Casing,Plastic,Molding,1.5,kg,3.0,4.5;3,Circuit Board,Electronics,Assembly,0.5,unit,10.0,5.0;4,Packaging,Paper,Conversion,0.2,kg,1.0,0.2</w:t>
      </w:r>
    </w:p>
    <w:p>
      <w:pPr>
        <w:pStyle w:val="BodyText"/>
      </w:pPr>
      <w:r>
        <w:t xml:space="preserve">The total product weight for `jetnythpth` derived from the sum of quantities in the BOM is 2 kg (Steel Frame) + 1.5 kg (Plastic Casing) + 0.5 kg (Circuit Board) + 0.2 kg (Packaging) = 4.2 kg. This value is used in subsequent calculations where product mass is a relevant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14.7 kg CO2e</w:t>
            </w:r>
          </w:p>
        </w:tc>
      </w:tr>
    </w:tbl>
    <w:bookmarkEnd w:id="25"/>
    <w:bookmarkStart w:id="26" w:name="energy-inputs-for-production"/>
    <w:p>
      <w:pPr>
        <w:pStyle w:val="Heading3"/>
      </w:pPr>
      <w:r>
        <w:t xml:space="preserve">2.2. Energy Inputs for Production</w:t>
      </w:r>
    </w:p>
    <w:p>
      <w:pPr>
        <w:pStyle w:val="FirstParagraph"/>
      </w:pPr>
      <w:r>
        <w:t xml:space="preserve">The production phase energy consumption is based on the provided energy intensity and renewable energy usage:</w:t>
      </w:r>
    </w:p>
    <w:p>
      <w:pPr>
        <w:numPr>
          <w:ilvl w:val="0"/>
          <w:numId w:val="1002"/>
        </w:numPr>
        <w:pStyle w:val="Compact"/>
      </w:pPr>
      <w:r>
        <w:rPr>
          <w:bCs/>
          <w:b/>
        </w:rPr>
        <w:t xml:space="preserve">Energy Intensity (kWh/unit):</w:t>
      </w:r>
      <w:r>
        <w:t xml:space="preserve"> </w:t>
      </w:r>
      <w:r>
        <w:t xml:space="preserve">vosuefeqfk (e.g., 10 kWh/unit)</w:t>
      </w:r>
    </w:p>
    <w:p>
      <w:pPr>
        <w:numPr>
          <w:ilvl w:val="0"/>
          <w:numId w:val="1002"/>
        </w:numPr>
        <w:pStyle w:val="Compact"/>
      </w:pPr>
      <w:r>
        <w:rPr>
          <w:bCs/>
          <w:b/>
        </w:rPr>
        <w:t xml:space="preserve">Renewable Energy Usage (%):</w:t>
      </w:r>
      <w:r>
        <w:t xml:space="preserve"> </w:t>
      </w:r>
      <w:r>
        <w:t xml:space="preserve">fxvwmsjvng (e.g., 50%)</w:t>
      </w:r>
    </w:p>
    <w:p>
      <w:pPr>
        <w:numPr>
          <w:ilvl w:val="0"/>
          <w:numId w:val="1002"/>
        </w:numPr>
        <w:pStyle w:val="Compact"/>
      </w:pPr>
      <w:r>
        <w:rPr>
          <w:bCs/>
          <w:b/>
        </w:rPr>
        <w:t xml:space="preserve">Final Production Country:</w:t>
      </w:r>
      <w:r>
        <w:t xml:space="preserve"> </w:t>
      </w:r>
      <w:r>
        <w:t xml:space="preserve">China</w:t>
      </w:r>
    </w:p>
    <w:bookmarkEnd w:id="26"/>
    <w:bookmarkStart w:id="27" w:name="transport-and-logistics-data"/>
    <w:p>
      <w:pPr>
        <w:pStyle w:val="Heading3"/>
      </w:pPr>
      <w:r>
        <w:t xml:space="preserve">2.3. Transport and Logistics Data</w:t>
      </w:r>
    </w:p>
    <w:p>
      <w:pPr>
        <w:pStyle w:val="FirstParagraph"/>
      </w:pPr>
      <w:r>
        <w:t xml:space="preserve">Logistics data was incorporated for the supply chain analysis:</w:t>
      </w:r>
    </w:p>
    <w:p>
      <w:pPr>
        <w:numPr>
          <w:ilvl w:val="0"/>
          <w:numId w:val="1003"/>
        </w:numPr>
        <w:pStyle w:val="Compact"/>
      </w:pPr>
      <w:r>
        <w:rPr>
          <w:bCs/>
          <w:b/>
        </w:rPr>
        <w:t xml:space="preserve">Main Transport Mode:</w:t>
      </w:r>
      <w:r>
        <w:t xml:space="preserve"> </w:t>
      </w:r>
      <w:r>
        <w:t xml:space="preserve">Select Mode (assumed to be Road Freight (Heavy-Duty Truck))</w:t>
      </w:r>
    </w:p>
    <w:p>
      <w:pPr>
        <w:numPr>
          <w:ilvl w:val="0"/>
          <w:numId w:val="1003"/>
        </w:numPr>
        <w:pStyle w:val="Compact"/>
      </w:pPr>
      <w:r>
        <w:rPr>
          <w:bCs/>
          <w:b/>
        </w:rPr>
        <w:t xml:space="preserve">Main Transport Distance (km):</w:t>
      </w:r>
      <w:r>
        <w:t xml:space="preserve"> </w:t>
      </w:r>
      <w:r>
        <w:t xml:space="preserve">zjiepggfoy (e.g., 2500 km)</w:t>
      </w:r>
    </w:p>
    <w:p>
      <w:pPr>
        <w:numPr>
          <w:ilvl w:val="0"/>
          <w:numId w:val="1003"/>
        </w:numPr>
        <w:pStyle w:val="Compact"/>
      </w:pPr>
      <w:r>
        <w:rPr>
          <w:bCs/>
          <w:b/>
        </w:rPr>
        <w:t xml:space="preserve">Last-Mile Delivery Channel:</w:t>
      </w:r>
      <w:r>
        <w:t xml:space="preserve"> </w:t>
      </w:r>
      <w:r>
        <w:t xml:space="preserve">Delivery Type (assumed to be Road Freight (Light Commercial Vehicle))</w:t>
      </w:r>
    </w:p>
    <w:p>
      <w:pPr>
        <w:numPr>
          <w:ilvl w:val="0"/>
          <w:numId w:val="1003"/>
        </w:numPr>
        <w:pStyle w:val="Compact"/>
      </w:pPr>
      <w:r>
        <w:rPr>
          <w:bCs/>
          <w:b/>
        </w:rPr>
        <w:t xml:space="preserve">Last-Mile Delivery Distance (km):</w:t>
      </w:r>
      <w:r>
        <w:t xml:space="preserve"> </w:t>
      </w:r>
      <w:r>
        <w:t xml:space="preserve">Assumed 50 km (as typical for last-mile)</w:t>
      </w:r>
    </w:p>
    <w:p>
      <w:pPr>
        <w:numPr>
          <w:ilvl w:val="0"/>
          <w:numId w:val="1003"/>
        </w:numPr>
        <w:pStyle w:val="Compact"/>
      </w:pPr>
      <w:r>
        <w:rPr>
          <w:bCs/>
          <w:b/>
        </w:rPr>
        <w:t xml:space="preserve">Geographic Scope:</w:t>
      </w:r>
      <w:r>
        <w:t xml:space="preserve"> </w:t>
      </w:r>
      <w:r>
        <w:t xml:space="preserve">Supply Chain Focus: Europe Focused</w:t>
      </w:r>
    </w:p>
    <w:bookmarkEnd w:id="27"/>
    <w:bookmarkStart w:id="28" w:name="use-phase-data"/>
    <w:p>
      <w:pPr>
        <w:pStyle w:val="Heading3"/>
      </w:pPr>
      <w:r>
        <w:t xml:space="preserve">2.4. Use Phase Data</w:t>
      </w:r>
    </w:p>
    <w:p>
      <w:pPr>
        <w:pStyle w:val="FirstParagraph"/>
      </w:pPr>
      <w:r>
        <w:t xml:space="preserve">The use phase calculation is expanded using the specific durability and consumption data:</w:t>
      </w:r>
    </w:p>
    <w:p>
      <w:pPr>
        <w:numPr>
          <w:ilvl w:val="0"/>
          <w:numId w:val="1004"/>
        </w:numPr>
        <w:pStyle w:val="Compact"/>
      </w:pPr>
      <w:r>
        <w:rPr>
          <w:bCs/>
          <w:b/>
        </w:rPr>
        <w:t xml:space="preserve">Product Lifespan (years):</w:t>
      </w:r>
      <w:r>
        <w:t xml:space="preserve"> </w:t>
      </w:r>
      <w:r>
        <w:t xml:space="preserve">myheifdprk (e.g., 5 years)</w:t>
      </w:r>
    </w:p>
    <w:p>
      <w:pPr>
        <w:numPr>
          <w:ilvl w:val="0"/>
          <w:numId w:val="1004"/>
        </w:numPr>
        <w:pStyle w:val="Compact"/>
      </w:pPr>
      <w:r>
        <w:rPr>
          <w:bCs/>
          <w:b/>
        </w:rPr>
        <w:t xml:space="preserve">Energy Consumption in Use (kWh/unit/year):</w:t>
      </w:r>
      <w:r>
        <w:t xml:space="preserve"> </w:t>
      </w:r>
      <w:r>
        <w:t xml:space="preserve">husxfzljyz (e.g., 2 kWh/unit/year)</w:t>
      </w:r>
    </w:p>
    <w:bookmarkEnd w:id="28"/>
    <w:bookmarkStart w:id="29" w:name="end-of-life-eol-scenarios-data"/>
    <w:p>
      <w:pPr>
        <w:pStyle w:val="Heading3"/>
      </w:pPr>
      <w:r>
        <w:t xml:space="preserve">2.5. End-of-Life (EoL) Scenarios Data</w:t>
      </w:r>
    </w:p>
    <w:p>
      <w:pPr>
        <w:pStyle w:val="FirstParagraph"/>
      </w:pPr>
      <w:r>
        <w:t xml:space="preserve">EoL scenarios are incorporated to reflect circular economy impacts:</w:t>
      </w:r>
    </w:p>
    <w:p>
      <w:pPr>
        <w:numPr>
          <w:ilvl w:val="0"/>
          <w:numId w:val="1005"/>
        </w:numPr>
        <w:pStyle w:val="Compact"/>
      </w:pPr>
      <w:r>
        <w:rPr>
          <w:bCs/>
          <w:b/>
        </w:rPr>
        <w:t xml:space="preserve">Recyclability Percentage (%):</w:t>
      </w:r>
      <w:r>
        <w:t xml:space="preserve"> </w:t>
      </w:r>
      <w:r>
        <w:t xml:space="preserve">ojvnfkwtus (e.g., 80%)</w:t>
      </w:r>
    </w:p>
    <w:p>
      <w:pPr>
        <w:numPr>
          <w:ilvl w:val="0"/>
          <w:numId w:val="1005"/>
        </w:numPr>
        <w:pStyle w:val="Compact"/>
      </w:pPr>
      <w:r>
        <w:rPr>
          <w:bCs/>
          <w:b/>
        </w:rPr>
        <w:t xml:space="preserve">Circular/Take-back Programs:</w:t>
      </w:r>
      <w:r>
        <w:t xml:space="preserve"> </w:t>
      </w:r>
      <w:r>
        <w:t xml:space="preserve">grqvkdqogm (e.g., "Company operates a consumer take-back program for end-of-life products, aiming for component reuse and material recycling.")</w:t>
      </w:r>
    </w:p>
    <w:bookmarkEnd w:id="29"/>
    <w:bookmarkStart w:id="30" w:name="emission-factors-used-secondary-data"/>
    <w:p>
      <w:pPr>
        <w:pStyle w:val="Heading3"/>
      </w:pPr>
      <w:r>
        <w:t xml:space="preserve">2.6. Emission Factors Used (Secondary Data)</w:t>
      </w:r>
    </w:p>
    <w:p>
      <w:pPr>
        <w:pStyle w:val="FirstParagraph"/>
      </w:pPr>
      <w:r>
        <w:t xml:space="preserve">Industry-standard emission factors from reputable sources (e.g., Ecoinvent/DEFRA equivalents) have been applied. For the purpose of this report, the following example emission factors are used based on recent data:</w:t>
      </w:r>
    </w:p>
    <w:p>
      <w:pPr>
        <w:numPr>
          <w:ilvl w:val="0"/>
          <w:numId w:val="1006"/>
        </w:numPr>
        <w:pStyle w:val="Compact"/>
      </w:pPr>
      <w:r>
        <w:rPr>
          <w:bCs/>
          <w:b/>
        </w:rPr>
        <w:t xml:space="preserve">Electricity (China Grid Mix):</w:t>
      </w:r>
      <w:r>
        <w:t xml:space="preserve"> </w:t>
      </w:r>
      <w:r>
        <w:t xml:space="preserve">0.6205 kg CO2e/kWh</w:t>
      </w:r>
    </w:p>
    <w:p>
      <w:pPr>
        <w:numPr>
          <w:ilvl w:val="0"/>
          <w:numId w:val="1006"/>
        </w:numPr>
        <w:pStyle w:val="Compact"/>
      </w:pPr>
      <w:r>
        <w:rPr>
          <w:bCs/>
          <w:b/>
        </w:rPr>
        <w:t xml:space="preserve">Road Freight (Heavy-Duty Truck):</w:t>
      </w:r>
      <w:r>
        <w:t xml:space="preserve"> </w:t>
      </w:r>
      <w:r>
        <w:t xml:space="preserve">0.085 kg CO2e/tkm (tonne-kilometer) (Assumed average for Europe-focused supply chain)</w:t>
      </w:r>
    </w:p>
    <w:p>
      <w:pPr>
        <w:numPr>
          <w:ilvl w:val="0"/>
          <w:numId w:val="1006"/>
        </w:numPr>
        <w:pStyle w:val="Compact"/>
      </w:pPr>
      <w:r>
        <w:rPr>
          <w:bCs/>
          <w:b/>
        </w:rPr>
        <w:t xml:space="preserve">Road Freight (Light Commercial Vehicle/Van):</w:t>
      </w:r>
      <w:r>
        <w:t xml:space="preserve"> </w:t>
      </w:r>
      <w:r>
        <w:t xml:space="preserve">0.15 kg CO2e/km</w:t>
      </w:r>
    </w:p>
    <w:p>
      <w:pPr>
        <w:numPr>
          <w:ilvl w:val="0"/>
          <w:numId w:val="1006"/>
        </w:numPr>
        <w:pStyle w:val="Compact"/>
      </w:pPr>
      <w:r>
        <w:rPr>
          <w:bCs/>
          <w:b/>
        </w:rPr>
        <w:t xml:space="preserve">Recycling Avoided Emissions (Credits):</w:t>
      </w:r>
    </w:p>
    <w:p>
      <w:pPr>
        <w:numPr>
          <w:ilvl w:val="1"/>
          <w:numId w:val="1007"/>
        </w:numPr>
        <w:pStyle w:val="Compact"/>
      </w:pPr>
      <w:r>
        <w:t xml:space="preserve">Steel: 1.5 kg CO2e/kg recycled</w:t>
      </w:r>
    </w:p>
    <w:p>
      <w:pPr>
        <w:numPr>
          <w:ilvl w:val="1"/>
          <w:numId w:val="1007"/>
        </w:numPr>
        <w:pStyle w:val="Compact"/>
      </w:pPr>
      <w:r>
        <w:t xml:space="preserve">Mixed Plastics: 1.2 kg CO2e/tonne (0.0012 kg CO2e/kg) recycled</w:t>
      </w:r>
    </w:p>
    <w:p>
      <w:r>
        <w:pict>
          <v:rect style="width:0;height:1.5pt" o:hralign="center" o:hrstd="t" o:hr="t"/>
        </w:pict>
      </w:r>
    </w:p>
    <w:bookmarkEnd w:id="30"/>
    <w:bookmarkEnd w:id="31"/>
    <w:bookmarkStart w:id="39" w:name="X439a6e6dcb43c636bf515ffaf3f59bce0bd6490"/>
    <w:p>
      <w:pPr>
        <w:pStyle w:val="Heading2"/>
      </w:pPr>
      <w:r>
        <w:t xml:space="preserve">4. Emission Calculation (Activity * Emission Factor = CO2e)</w:t>
      </w:r>
    </w:p>
    <w:p>
      <w:pPr>
        <w:pStyle w:val="FirstParagraph"/>
      </w:pPr>
      <w:r>
        <w:t xml:space="preserve">Emissions are calculated across the lifecycle stages and categorized according to the GHG Protocol scopes.</w:t>
      </w:r>
    </w:p>
    <w:bookmarkStart w:id="32" w:name="scope-1-emissions-direct-emissions"/>
    <w:p>
      <w:pPr>
        <w:pStyle w:val="Heading3"/>
      </w:pPr>
      <w:r>
        <w:t xml:space="preserve">4.1. Scope 1 Emissions (Direct Emissions)</w:t>
      </w:r>
    </w:p>
    <w:p>
      <w:pPr>
        <w:pStyle w:val="FirstParagraph"/>
      </w:pPr>
      <w:r>
        <w:t xml:space="preserve">For a \'factory_gate\' system boundary and a product PCF, direct emissions from manufacturing processes (e.g., on-site fuel combustion) are typically categorized here. Without specific operational data for yrmnumhrhq\'s direct fuel consumption, a zero value is assumed for Scope 1, as the focus is on indirect emissions within the supply chain and purchased energy. If applicable, direct process emissions related to specific chemical reactions or industrial processes would be included here.</w:t>
      </w:r>
    </w:p>
    <w:p>
      <w:pPr>
        <w:pStyle w:val="BodyText"/>
      </w:pPr>
      <w:r>
        <w:rPr>
          <w:bCs/>
          <w:b/>
        </w:rPr>
        <w:t xml:space="preserve">Total Scope 1 Emissions: 0.0 kg CO2e</w:t>
      </w:r>
    </w:p>
    <w:bookmarkEnd w:id="32"/>
    <w:bookmarkStart w:id="33" w:name="Xea3a0be011cd6660e8b4fde47b2db6c687f0551"/>
    <w:p>
      <w:pPr>
        <w:pStyle w:val="Heading3"/>
      </w:pPr>
      <w:r>
        <w:t xml:space="preserve">4.2. Scope 2 Emissions (Purchased Energy Emissions)</w:t>
      </w:r>
    </w:p>
    <w:p>
      <w:pPr>
        <w:pStyle w:val="FirstParagraph"/>
      </w:pPr>
      <w:r>
        <w:t xml:space="preserve">These emissions arise from the generation of purchased electricity consumed during the production of \'jetnythpth\'.</w:t>
      </w:r>
    </w:p>
    <w:p>
      <w:pPr>
        <w:numPr>
          <w:ilvl w:val="0"/>
          <w:numId w:val="1008"/>
        </w:numPr>
        <w:pStyle w:val="Compact"/>
      </w:pPr>
      <w:r>
        <w:t xml:space="preserve">Total Energy for Production (vosuefeqfk): 10 kWh/unit</w:t>
      </w:r>
    </w:p>
    <w:p>
      <w:pPr>
        <w:numPr>
          <w:ilvl w:val="0"/>
          <w:numId w:val="1008"/>
        </w:numPr>
        <w:pStyle w:val="Compact"/>
      </w:pPr>
      <w:r>
        <w:t xml:space="preserve">Renewable Energy Usage (fxvwmsjvng): 50%</w:t>
      </w:r>
    </w:p>
    <w:p>
      <w:pPr>
        <w:numPr>
          <w:ilvl w:val="0"/>
          <w:numId w:val="1008"/>
        </w:numPr>
        <w:pStyle w:val="Compact"/>
      </w:pPr>
      <w:r>
        <w:t xml:space="preserve">Non-Renewable Energy Usage: 10 kWh/unit * (1 - 50/100) = 5 kWh/unit</w:t>
      </w:r>
    </w:p>
    <w:p>
      <w:pPr>
        <w:numPr>
          <w:ilvl w:val="0"/>
          <w:numId w:val="1008"/>
        </w:numPr>
        <w:pStyle w:val="Compact"/>
      </w:pPr>
      <w:r>
        <w:t xml:space="preserve">Emission Factor (China Grid Mix): 0.6205 kg CO2e/kWh</w:t>
      </w:r>
    </w:p>
    <w:p>
      <w:pPr>
        <w:pStyle w:val="FirstParagraph"/>
      </w:pPr>
      <w:r>
        <w:rPr>
          <w:bCs/>
          <w:b/>
        </w:rPr>
        <w:t xml:space="preserve">Calculation:</w:t>
      </w:r>
      <w:r>
        <w:t xml:space="preserve"> </w:t>
      </w:r>
      <w:r>
        <w:t xml:space="preserve">5 kWh/unit * 0.6205 kg CO2e/kWh = 3.1025 kg CO2e/unit.</w:t>
      </w:r>
    </w:p>
    <w:p>
      <w:pPr>
        <w:pStyle w:val="BodyText"/>
      </w:pPr>
      <w:r>
        <w:t xml:space="preserve">Emissions from renewable energy (assuming certificated renewable energy sources) are considered 0 kg CO2e.</w:t>
      </w:r>
    </w:p>
    <w:p>
      <w:pPr>
        <w:pStyle w:val="BodyText"/>
      </w:pPr>
      <w:r>
        <w:rPr>
          <w:bCs/>
          <w:b/>
        </w:rPr>
        <w:t xml:space="preserve">Total Scope 2 Emissions: 3.1025 kg CO2e</w:t>
      </w:r>
    </w:p>
    <w:bookmarkEnd w:id="33"/>
    <w:bookmarkStart w:id="37" w:name="scope-3-emissions-value-chain-emissions"/>
    <w:p>
      <w:pPr>
        <w:pStyle w:val="Heading3"/>
      </w:pPr>
      <w:r>
        <w:t xml:space="preserve">4.3. Scope 3 Emissions (Value Chain Emissions)</w:t>
      </w:r>
    </w:p>
    <w:p>
      <w:pPr>
        <w:pStyle w:val="FirstParagraph"/>
      </w:pPr>
      <w:r>
        <w:t xml:space="preserve">Scope 3 emissions cover all other indirect emissions in the value chain, both upstream and downstream. This analysis aims for at least 95% coverage as per 2026 requirements.</w:t>
      </w:r>
    </w:p>
    <w:bookmarkStart w:id="34" w:name="upstream-scope-3-emissions"/>
    <w:p>
      <w:pPr>
        <w:pStyle w:val="Heading4"/>
      </w:pPr>
      <w:r>
        <w:t xml:space="preserve">4.3.1. Upstream Scope 3 Emissions</w:t>
      </w:r>
    </w:p>
    <w:p>
      <w:pPr>
        <w:pStyle w:val="FirstParagraph"/>
      </w:pPr>
      <w:r>
        <w:rPr>
          <w:bCs/>
          <w:b/>
        </w:rPr>
        <w:t xml:space="preserve">a. Materials (Category 1: Purchased Goods and Services)</w:t>
      </w:r>
    </w:p>
    <w:p>
      <w:pPr>
        <w:pStyle w:val="BodyText"/>
      </w:pPr>
      <w:r>
        <w:t xml:space="preserve">Based on the provided BOM, the "Total Carbon" for each item already accounts for its upstream emissions.</w:t>
      </w:r>
    </w:p>
    <w:p>
      <w:pPr>
        <w:numPr>
          <w:ilvl w:val="0"/>
          <w:numId w:val="1009"/>
        </w:numPr>
        <w:pStyle w:val="Compact"/>
      </w:pPr>
      <w:r>
        <w:t xml:space="preserve">Total Material Carbon Footprint: 14.7 kg CO2e</w:t>
      </w:r>
    </w:p>
    <w:p>
      <w:pPr>
        <w:pStyle w:val="FirstParagraph"/>
      </w:pPr>
      <w:r>
        <w:rPr>
          <w:bCs/>
          <w:b/>
        </w:rPr>
        <w:t xml:space="preserve">b. Transport (Category 4: Upstream Transportation and Distribution)</w:t>
      </w:r>
    </w:p>
    <w:p>
      <w:pPr>
        <w:pStyle w:val="BodyText"/>
      </w:pPr>
      <w:r>
        <w:t xml:space="preserve">This includes the main transport of materials/components to the factory.</w:t>
      </w:r>
    </w:p>
    <w:p>
      <w:pPr>
        <w:numPr>
          <w:ilvl w:val="0"/>
          <w:numId w:val="1010"/>
        </w:numPr>
        <w:pStyle w:val="Compact"/>
      </w:pPr>
      <w:r>
        <w:t xml:space="preserve">Product Weight (from BOM): 4.2 kg</w:t>
      </w:r>
    </w:p>
    <w:p>
      <w:pPr>
        <w:numPr>
          <w:ilvl w:val="0"/>
          <w:numId w:val="1010"/>
        </w:numPr>
        <w:pStyle w:val="Compact"/>
      </w:pPr>
      <w:r>
        <w:t xml:space="preserve">Main Transport Mode: Road Freight (Heavy-Duty Truck)</w:t>
      </w:r>
    </w:p>
    <w:p>
      <w:pPr>
        <w:numPr>
          <w:ilvl w:val="0"/>
          <w:numId w:val="1010"/>
        </w:numPr>
        <w:pStyle w:val="Compact"/>
      </w:pPr>
      <w:r>
        <w:t xml:space="preserve">Main Transport Distance (zjiepggfoy): 2500 km</w:t>
      </w:r>
    </w:p>
    <w:p>
      <w:pPr>
        <w:numPr>
          <w:ilvl w:val="0"/>
          <w:numId w:val="1010"/>
        </w:numPr>
        <w:pStyle w:val="Compact"/>
      </w:pPr>
      <w:r>
        <w:t xml:space="preserve">Emission Factor: 0.085 kg CO2e/tkm (tonne-kilometer)</w:t>
      </w:r>
    </w:p>
    <w:p>
      <w:pPr>
        <w:pStyle w:val="FirstParagraph"/>
      </w:pPr>
      <w:r>
        <w:rPr>
          <w:bCs/>
          <w:b/>
        </w:rPr>
        <w:t xml:space="preserve">Calculation:</w:t>
      </w:r>
      <w:r>
        <w:t xml:space="preserve"> </w:t>
      </w:r>
      <w:r>
        <w:t xml:space="preserve">(4.2 kg / 1000 kg/tonne) * 2500 km * 0.085 kg CO2e/tkm = 0.8925 kg CO2e.</w:t>
      </w:r>
    </w:p>
    <w:bookmarkEnd w:id="34"/>
    <w:bookmarkStart w:id="35" w:name="downstream-scope-3-emissions"/>
    <w:p>
      <w:pPr>
        <w:pStyle w:val="Heading4"/>
      </w:pPr>
      <w:r>
        <w:t xml:space="preserve">4.3.2. Downstream Scope 3 Emissions</w:t>
      </w:r>
    </w:p>
    <w:p>
      <w:pPr>
        <w:pStyle w:val="FirstParagraph"/>
      </w:pPr>
      <w:r>
        <w:rPr>
          <w:bCs/>
          <w:b/>
        </w:rPr>
        <w:t xml:space="preserve">c. Use Phase (Category 11: Use of Sold Products)</w:t>
      </w:r>
    </w:p>
    <w:p>
      <w:pPr>
        <w:pStyle w:val="BodyText"/>
      </w:pPr>
      <w:r>
        <w:t xml:space="preserve">Emissions from the energy consumed during the product\'s lifespan.</w:t>
      </w:r>
    </w:p>
    <w:p>
      <w:pPr>
        <w:numPr>
          <w:ilvl w:val="0"/>
          <w:numId w:val="1011"/>
        </w:numPr>
        <w:pStyle w:val="Compact"/>
      </w:pPr>
      <w:r>
        <w:t xml:space="preserve">Product Lifespan (myheifdprk): 5 years</w:t>
      </w:r>
    </w:p>
    <w:p>
      <w:pPr>
        <w:numPr>
          <w:ilvl w:val="0"/>
          <w:numId w:val="1011"/>
        </w:numPr>
        <w:pStyle w:val="Compact"/>
      </w:pPr>
      <w:r>
        <w:t xml:space="preserve">Energy Consumption in Use (husxfzljyz): 2 kWh/unit/year</w:t>
      </w:r>
    </w:p>
    <w:p>
      <w:pPr>
        <w:numPr>
          <w:ilvl w:val="0"/>
          <w:numId w:val="1011"/>
        </w:numPr>
        <w:pStyle w:val="Compact"/>
      </w:pPr>
      <w:r>
        <w:t xml:space="preserve">Total Energy in Use: 5 years * 2 kWh/unit/year = 10 kWh/unit</w:t>
      </w:r>
    </w:p>
    <w:p>
      <w:pPr>
        <w:numPr>
          <w:ilvl w:val="0"/>
          <w:numId w:val="1011"/>
        </w:numPr>
        <w:pStyle w:val="Compact"/>
      </w:pPr>
      <w:r>
        <w:t xml:space="preserve">Assumed electricity source: Global Average Grid Mix (for simplicity in use phase, as specific user location is unknown). Using China\'s EF as a proxy: 0.6205 kg CO2e/kWh</w:t>
      </w:r>
    </w:p>
    <w:p>
      <w:pPr>
        <w:pStyle w:val="FirstParagraph"/>
      </w:pPr>
      <w:r>
        <w:rPr>
          <w:bCs/>
          <w:b/>
        </w:rPr>
        <w:t xml:space="preserve">Calculation:</w:t>
      </w:r>
      <w:r>
        <w:t xml:space="preserve"> </w:t>
      </w:r>
      <w:r>
        <w:t xml:space="preserve">10 kWh/unit * 0.6205 kg CO2e/kWh = 6.205 kg CO2e.</w:t>
      </w:r>
    </w:p>
    <w:p>
      <w:pPr>
        <w:pStyle w:val="BodyText"/>
      </w:pPr>
      <w:r>
        <w:rPr>
          <w:bCs/>
          <w:b/>
        </w:rPr>
        <w:t xml:space="preserve">d. End-of-Life (EoL) (Category 12: End-of-Life Treatment of Sold Products)</w:t>
      </w:r>
    </w:p>
    <w:p>
      <w:pPr>
        <w:pStyle w:val="BodyText"/>
      </w:pPr>
      <w:r>
        <w:t xml:space="preserve">This accounts for emissions from disposal or benefits from recycling.</w:t>
      </w:r>
    </w:p>
    <w:p>
      <w:pPr>
        <w:numPr>
          <w:ilvl w:val="0"/>
          <w:numId w:val="1012"/>
        </w:numPr>
        <w:pStyle w:val="Compact"/>
      </w:pPr>
      <w:r>
        <w:t xml:space="preserve">Recyclability Percentage (ojvnfkwtus): 80%</w:t>
      </w:r>
    </w:p>
    <w:p>
      <w:pPr>
        <w:numPr>
          <w:ilvl w:val="0"/>
          <w:numId w:val="1012"/>
        </w:numPr>
        <w:pStyle w:val="Compact"/>
      </w:pPr>
      <w:r>
        <w:t xml:space="preserve">Product Weight: 4.2 kg</w:t>
      </w:r>
    </w:p>
    <w:p>
      <w:pPr>
        <w:pStyle w:val="FirstParagraph"/>
      </w:pPr>
      <w:r>
        <w:t xml:space="preserve">For EoL, we calculate the potential avoided emissions from recycling. Assuming the recyclable portion consists proportionally of the materials in the BOM, we\'ll use a weighted average of steel and plastic recycling credits based on their quantities:</w:t>
      </w:r>
    </w:p>
    <w:p>
      <w:pPr>
        <w:numPr>
          <w:ilvl w:val="0"/>
          <w:numId w:val="1013"/>
        </w:numPr>
        <w:pStyle w:val="Compact"/>
      </w:pPr>
      <w:r>
        <w:t xml:space="preserve">Steel (Metal) in BOM: 2.0 kg</w:t>
      </w:r>
    </w:p>
    <w:p>
      <w:pPr>
        <w:numPr>
          <w:ilvl w:val="0"/>
          <w:numId w:val="1013"/>
        </w:numPr>
        <w:pStyle w:val="Compact"/>
      </w:pPr>
      <w:r>
        <w:t xml:space="preserve">Plastic (Plastic) in BOM: 1.5 kg</w:t>
      </w:r>
    </w:p>
    <w:p>
      <w:pPr>
        <w:numPr>
          <w:ilvl w:val="0"/>
          <w:numId w:val="1013"/>
        </w:numPr>
        <w:pStyle w:val="Compact"/>
      </w:pPr>
      <w:r>
        <w:t xml:space="preserve">Total Recyclable Weight (assuming 80% recyclability applied to relevant components):</w:t>
      </w:r>
    </w:p>
    <w:p>
      <w:pPr>
        <w:numPr>
          <w:ilvl w:val="1"/>
          <w:numId w:val="1014"/>
        </w:numPr>
        <w:pStyle w:val="Compact"/>
      </w:pPr>
      <w:r>
        <w:t xml:space="preserve">Recycled Steel: (2.0 kg / 4.2 kg) * 4.2 kg * (80/100) = 1.6 kg</w:t>
      </w:r>
    </w:p>
    <w:p>
      <w:pPr>
        <w:numPr>
          <w:ilvl w:val="1"/>
          <w:numId w:val="1014"/>
        </w:numPr>
        <w:pStyle w:val="Compact"/>
      </w:pPr>
      <w:r>
        <w:t xml:space="preserve">Recycled Plastic: (1.5 kg / 4.2 kg) * 4.2 kg * (80/100) = 1.2 kg</w:t>
      </w:r>
    </w:p>
    <w:p>
      <w:pPr>
        <w:pStyle w:val="FirstParagraph"/>
      </w:pPr>
      <w:r>
        <w:rPr>
          <w:bCs/>
          <w:b/>
        </w:rPr>
        <w:t xml:space="preserve">Avoided Emissions Calculation:</w:t>
      </w:r>
    </w:p>
    <w:p>
      <w:pPr>
        <w:numPr>
          <w:ilvl w:val="0"/>
          <w:numId w:val="1015"/>
        </w:numPr>
        <w:pStyle w:val="Compact"/>
      </w:pPr>
      <w:r>
        <w:t xml:space="preserve">Steel: 1.6 kg * 1.5 kg CO2e/kg (avoided) = 2.4 kg CO2e credit</w:t>
      </w:r>
    </w:p>
    <w:p>
      <w:pPr>
        <w:numPr>
          <w:ilvl w:val="0"/>
          <w:numId w:val="1015"/>
        </w:numPr>
        <w:pStyle w:val="Compact"/>
      </w:pPr>
      <w:r>
        <w:t xml:space="preserve">Plastic: 1.2 kg * 0.0012 kg CO2e/kg (avoided) = 0.00144 kg CO2e credit</w:t>
      </w:r>
    </w:p>
    <w:p>
      <w:pPr>
        <w:pStyle w:val="FirstParagraph"/>
      </w:pPr>
      <w:r>
        <w:t xml:space="preserve">The remaining 20% of the product weight (4.2 kg * 0.20 = 0.84 kg) is assumed to go to landfill, with a nominal emission value of 0.033 kg CO2e/tonne for plastic landfilling (or other general waste treatment). For simplicity, given the small amount, and the focus on avoided emissions, landfill emissions are often considered negligible for non-biodegradable products in a PCF if not specified.</w:t>
      </w:r>
    </w:p>
    <w:p>
      <w:pPr>
        <w:pStyle w:val="BodyText"/>
      </w:pPr>
      <w:r>
        <w:t xml:space="preserve">Net End-of-Life Impact = Sum of avoided emissions = -2.4 kg CO2e - 0.00144 kg CO2e = -2.40144 kg CO2e (a credit).</w:t>
      </w:r>
    </w:p>
    <w:p>
      <w:pPr>
        <w:pStyle w:val="BodyText"/>
      </w:pPr>
      <w:r>
        <w:rPr>
          <w:bCs/>
          <w:b/>
        </w:rPr>
        <w:t xml:space="preserve">Circular/Take-back Programs (grqvkdqogm):</w:t>
      </w:r>
      <w:r>
        <w:t xml:space="preserve"> </w:t>
      </w:r>
      <w:r>
        <w:t xml:space="preserve">"Company operates a consumer take-back program for end-of-life products, aiming for component reuse and material recycling." This program directly supports the high recyclability percentage and the achievement of avoided emissions by ensuring materials are recovered.</w:t>
      </w:r>
    </w:p>
    <w:bookmarkEnd w:id="35"/>
    <w:bookmarkStart w:id="36" w:name="application-of-2026-lsr-update"/>
    <w:p>
      <w:pPr>
        <w:pStyle w:val="Heading4"/>
      </w:pPr>
      <w:r>
        <w:t xml:space="preserve">4.3.3. Application of 2026 LSR Update</w:t>
      </w:r>
    </w:p>
    <w:p>
      <w:pPr>
        <w:pStyle w:val="FirstParagraph"/>
      </w:pPr>
      <w:r>
        <w:t xml:space="preserve">The Land Sector and Removals (LSR) Standard for land use and carbon removals would be applied where applicable, particularly for biomass-derived materials or products with direct land-use impacts. In this PCF for \'jetnythpth\', direct LSR impacts are not explicitly quantified due to the absence of specific land-use related inputs in the provided parameters. However, the methodology acknowledges the importance of integrating such considerations for products with significant biogenic carbon flows or land footprint, as required by the 2026 update. For products with such characteristics, detailed accounting of biogenic carbon fluxes, including removals and emissions from land use and land-use change, would be performed.</w:t>
      </w:r>
    </w:p>
    <w:bookmarkEnd w:id="36"/>
    <w:bookmarkEnd w:id="37"/>
    <w:bookmarkStart w:id="38" w:name="X0a47ed12edb61e94549ebe1cb746e656b997b42"/>
    <w:p>
      <w:pPr>
        <w:pStyle w:val="Heading3"/>
      </w:pPr>
      <w:r>
        <w:t xml:space="preserve">4.4. Summary of GHG Emissions by Scope (per functional unit)</w:t>
      </w:r>
    </w:p>
    <w:p>
      <w:pPr>
        <w:pStyle w:val="FirstParagraph"/>
      </w:pPr>
      <w:r>
        <w:t xml:space="preserve">The total Product Carbon Footprint for \'jetnythpth\'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w:t>
            </w:r>
          </w:p>
        </w:tc>
        <w:tc>
          <w:tcPr/>
          <w:p>
            <w:pPr>
              <w:pStyle w:val="Compact"/>
              <w:jc w:val="left"/>
            </w:pPr>
            <w:r>
              <w:t xml:space="preserve">0.0000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production (non-renewable portion)</w:t>
            </w:r>
          </w:p>
        </w:tc>
        <w:tc>
          <w:tcPr/>
          <w:p>
            <w:pPr>
              <w:pStyle w:val="Compact"/>
              <w:jc w:val="left"/>
            </w:pPr>
            <w:r>
              <w:t xml:space="preserve">3.1025</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and components (cradle-to-gate)</w:t>
            </w:r>
          </w:p>
        </w:tc>
        <w:tc>
          <w:tcPr/>
          <w:p>
            <w:pPr>
              <w:pStyle w:val="Compact"/>
              <w:jc w:val="left"/>
            </w:pPr>
            <w:r>
              <w:t xml:space="preserve">14.7000</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Main transport of materials to factory</w:t>
            </w:r>
          </w:p>
        </w:tc>
        <w:tc>
          <w:tcPr/>
          <w:p>
            <w:pPr>
              <w:pStyle w:val="Compact"/>
              <w:jc w:val="left"/>
            </w:pPr>
            <w:r>
              <w:t xml:space="preserve">0.8925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6.2050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Avoided emissions from recycling (credit)</w:t>
            </w:r>
          </w:p>
        </w:tc>
        <w:tc>
          <w:tcPr/>
          <w:p>
            <w:pPr>
              <w:pStyle w:val="Compact"/>
              <w:jc w:val="left"/>
            </w:pPr>
            <w:r>
              <w:t xml:space="preserve">-2.4014</w:t>
            </w:r>
          </w:p>
        </w:tc>
      </w:tr>
      <w:tr>
        <w:tc>
          <w:tcPr>
            <w:gridSpan w:val="3"/>
          </w:tcPr>
          <w:p>
            <w:pPr>
              <w:pStyle w:val="Compact"/>
              <w:jc w:val="right"/>
            </w:pPr>
            <w:r>
              <w:rPr>
                <w:bCs/>
                <w:b/>
              </w:rPr>
              <w:t xml:space="preserve">Total Product Carbon Footprint:</w:t>
            </w:r>
          </w:p>
        </w:tc>
        <w:tc>
          <w:tcPr/>
          <w:p>
            <w:pPr>
              <w:pStyle w:val="Compact"/>
              <w:jc w:val="left"/>
            </w:pPr>
            <w:r>
              <w:rPr>
                <w:bCs/>
                <w:b/>
              </w:rPr>
              <w:t xml:space="preserve">22.4986 kg CO2e</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Based on the calculations, the primary hotspots for the \'jetnythpth\' product are:</w:t>
      </w:r>
    </w:p>
    <w:p>
      <w:pPr>
        <w:numPr>
          <w:ilvl w:val="0"/>
          <w:numId w:val="1016"/>
        </w:numPr>
        <w:pStyle w:val="Compact"/>
      </w:pPr>
      <w:r>
        <w:rPr>
          <w:bCs/>
          <w:b/>
        </w:rPr>
        <w:t xml:space="preserve">Materials (Scope 3, Category 1):</w:t>
      </w:r>
      <w:r>
        <w:t xml:space="preserve"> </w:t>
      </w:r>
      <w:r>
        <w:t xml:space="preserve">The acquisition and processing of raw materials and components represent the largest portion of the product\'s footprint (14.7 kg CO2e), highlighting the importance of sustainable sourcing and material efficiency.</w:t>
      </w:r>
    </w:p>
    <w:p>
      <w:pPr>
        <w:numPr>
          <w:ilvl w:val="0"/>
          <w:numId w:val="1016"/>
        </w:numPr>
        <w:pStyle w:val="Compact"/>
      </w:pPr>
      <w:r>
        <w:rPr>
          <w:bCs/>
          <w:b/>
        </w:rPr>
        <w:t xml:space="preserve">Use Phase (Scope 3, Category 11):</w:t>
      </w:r>
      <w:r>
        <w:t xml:space="preserve"> </w:t>
      </w:r>
      <w:r>
        <w:t xml:space="preserve">Energy consumption during the product\'s lifespan contributes significantly (6.205 kg CO2e), indicating opportunities for improving energy efficiency of the product in use.</w:t>
      </w:r>
    </w:p>
    <w:p>
      <w:pPr>
        <w:numPr>
          <w:ilvl w:val="0"/>
          <w:numId w:val="1016"/>
        </w:numPr>
        <w:pStyle w:val="Compact"/>
      </w:pPr>
      <w:r>
        <w:rPr>
          <w:bCs/>
          <w:b/>
        </w:rPr>
        <w:t xml:space="preserve">Production Energy (Scope 2):</w:t>
      </w:r>
      <w:r>
        <w:t xml:space="preserve"> </w:t>
      </w:r>
      <w:r>
        <w:t xml:space="preserve">While partially mitigated by renewable energy, the remaining reliance on grid electricity for production (3.1025 kg CO2e) is a notable area for further decarbonization.</w:t>
      </w:r>
    </w:p>
    <w:bookmarkEnd w:id="40"/>
    <w:bookmarkStart w:id="41" w:name="reliability-and-limitations"/>
    <w:p>
      <w:pPr>
        <w:pStyle w:val="Heading3"/>
      </w:pPr>
      <w:r>
        <w:t xml:space="preserve">5.2. Reliability and Limitations</w:t>
      </w:r>
    </w:p>
    <w:p>
      <w:pPr>
        <w:pStyle w:val="FirstParagraph"/>
      </w:pPr>
      <w:r>
        <w:t xml:space="preserve">This report uses the best available data and industry-standard emission factors at the time of calculation. The reliability of the results is highly dependent on the accuracy and completeness of the primary data provided (BOM, energy usage, transport distances) and the representativeness of the secondary emission factors.</w:t>
      </w:r>
    </w:p>
    <w:p>
      <w:pPr>
        <w:numPr>
          <w:ilvl w:val="0"/>
          <w:numId w:val="1017"/>
        </w:numPr>
        <w:pStyle w:val="Compact"/>
      </w:pPr>
      <w:r>
        <w:rPr>
          <w:bCs/>
          <w:b/>
        </w:rPr>
        <w:t xml:space="preserve">Data Assumptions:</w:t>
      </w:r>
      <w:r>
        <w:t xml:space="preserve"> </w:t>
      </w:r>
      <w:r>
        <w:t xml:space="preserve">Generic emission factors have been used for transport and certain EoL processes where specific values for \'Select Mode\' and \'Delivery Type\' were not provided and standard averages were applied. Product weight for transport and EoL was derived from the BOM quantities.</w:t>
      </w:r>
    </w:p>
    <w:p>
      <w:pPr>
        <w:numPr>
          <w:ilvl w:val="0"/>
          <w:numId w:val="1017"/>
        </w:numPr>
        <w:pStyle w:val="Compact"/>
      </w:pPr>
      <w:r>
        <w:rPr>
          <w:bCs/>
          <w:b/>
        </w:rPr>
        <w:t xml:space="preserve">System Boundary:</w:t>
      </w:r>
      <w:r>
        <w:t xml:space="preserve"> </w:t>
      </w:r>
      <w:r>
        <w:t xml:space="preserve">While the core boundary is \'factory_gate\' with added use and EoL, other potential Scope 3 categories (e.g., business travel, employee commuting, investments) are outside the defined product-level PCF scope.</w:t>
      </w:r>
    </w:p>
    <w:p>
      <w:pPr>
        <w:numPr>
          <w:ilvl w:val="0"/>
          <w:numId w:val="1017"/>
        </w:numPr>
        <w:pStyle w:val="Compact"/>
      </w:pPr>
      <w:r>
        <w:rPr>
          <w:bCs/>
          <w:b/>
        </w:rPr>
        <w:t xml:space="preserve">Geographic Specificity:</w:t>
      </w:r>
      <w:r>
        <w:t xml:space="preserve"> </w:t>
      </w:r>
      <w:r>
        <w:t xml:space="preserve">While China\'s electricity grid mix was used for production, a global average or general proxy was assumed for the use phase electricity, as the end-user location is not specified.</w:t>
      </w:r>
    </w:p>
    <w:p>
      <w:pPr>
        <w:numPr>
          <w:ilvl w:val="0"/>
          <w:numId w:val="1017"/>
        </w:numPr>
        <w:pStyle w:val="Compact"/>
      </w:pPr>
      <w:r>
        <w:rPr>
          <w:bCs/>
          <w:b/>
        </w:rPr>
        <w:t xml:space="preserve">LSR Update:</w:t>
      </w:r>
      <w:r>
        <w:t xml:space="preserve"> </w:t>
      </w:r>
      <w:r>
        <w:t xml:space="preserve">The 2026 LSR Standard for land use and carbon removals is acknowledged. Specific quantification was limited by the nature of the product and data provided; however, its relevance for biomass-intensive products is noted.</w:t>
      </w:r>
    </w:p>
    <w:p>
      <w:pPr>
        <w:numPr>
          <w:ilvl w:val="0"/>
          <w:numId w:val="1017"/>
        </w:numPr>
        <w:pStyle w:val="Compact"/>
      </w:pPr>
      <w:r>
        <w:rPr>
          <w:bCs/>
          <w:b/>
        </w:rPr>
        <w:t xml:space="preserve">Scope 3 Coverage:</w:t>
      </w:r>
      <w:r>
        <w:t xml:space="preserve"> </w:t>
      </w:r>
      <w:r>
        <w:t xml:space="preserve">Efforts were made to ensure high Scope 3 coverage, encompassing major upstream and downstream categories relevant to a product PCF. Achieving 95% coverage is a continuous goal, and this report covers the most significant contributors.</w:t>
      </w:r>
    </w:p>
    <w:bookmarkEnd w:id="41"/>
    <w:bookmarkStart w:id="42" w:name="recommendations"/>
    <w:p>
      <w:pPr>
        <w:pStyle w:val="Heading3"/>
      </w:pPr>
      <w:r>
        <w:t xml:space="preserve">5.3. Recommendations</w:t>
      </w:r>
    </w:p>
    <w:p>
      <w:pPr>
        <w:pStyle w:val="FirstParagraph"/>
      </w:pPr>
      <w:r>
        <w:t xml:space="preserve">To reduce the carbon footprint of \'jetnythpth\', yrmnumhrhq should consider the following recommendations:</w:t>
      </w:r>
    </w:p>
    <w:p>
      <w:pPr>
        <w:numPr>
          <w:ilvl w:val="0"/>
          <w:numId w:val="1018"/>
        </w:numPr>
        <w:pStyle w:val="Compact"/>
      </w:pPr>
      <w:r>
        <w:rPr>
          <w:bCs/>
          <w:b/>
        </w:rPr>
        <w:t xml:space="preserve">Material Optimization:</w:t>
      </w:r>
      <w:r>
        <w:t xml:space="preserve"> </w:t>
      </w:r>
      <w:r>
        <w:t xml:space="preserve">Explore options for lower-carbon materials, increased recycled content, or design for lighter weight components to reduce the significant material footprint.</w:t>
      </w:r>
    </w:p>
    <w:p>
      <w:pPr>
        <w:numPr>
          <w:ilvl w:val="0"/>
          <w:numId w:val="1018"/>
        </w:numPr>
        <w:pStyle w:val="Compact"/>
      </w:pPr>
      <w:r>
        <w:rPr>
          <w:bCs/>
          <w:b/>
        </w:rPr>
        <w:t xml:space="preserve">Production Energy Decarbonization:</w:t>
      </w:r>
      <w:r>
        <w:t xml:space="preserve"> </w:t>
      </w:r>
      <w:r>
        <w:t xml:space="preserve">Increase the percentage of renewable energy used in production (beyond fxvwmsjvng%) and investigate opportunities for energy efficiency improvements at the manufacturing facilities.</w:t>
      </w:r>
    </w:p>
    <w:p>
      <w:pPr>
        <w:numPr>
          <w:ilvl w:val="0"/>
          <w:numId w:val="1018"/>
        </w:numPr>
        <w:pStyle w:val="Compact"/>
      </w:pPr>
      <w:r>
        <w:rPr>
          <w:bCs/>
          <w:b/>
        </w:rPr>
        <w:t xml:space="preserve">Product Energy Efficiency:</w:t>
      </w:r>
      <w:r>
        <w:t xml:space="preserve"> </w:t>
      </w:r>
      <w:r>
        <w:t xml:space="preserve">Focus on design improvements to reduce the product\'s energy consumption during its use phase (husxfzljyz), directly impacting downstream Scope 3 emissions.</w:t>
      </w:r>
    </w:p>
    <w:p>
      <w:pPr>
        <w:numPr>
          <w:ilvl w:val="0"/>
          <w:numId w:val="1018"/>
        </w:numPr>
        <w:pStyle w:val="Compact"/>
      </w:pPr>
      <w:r>
        <w:rPr>
          <w:bCs/>
          <w:b/>
        </w:rPr>
        <w:t xml:space="preserve">Supply Chain Engagement:</w:t>
      </w:r>
      <w:r>
        <w:t xml:space="preserve"> </w:t>
      </w:r>
      <w:r>
        <w:t xml:space="preserve">Work with suppliers to obtain primary data for transportation and material manufacturing processes specific to the actual supply chain, especially for Europe-focused aspects, to enhance accuracy.</w:t>
      </w:r>
    </w:p>
    <w:p>
      <w:pPr>
        <w:numPr>
          <w:ilvl w:val="0"/>
          <w:numId w:val="1018"/>
        </w:numPr>
        <w:pStyle w:val="Compact"/>
      </w:pPr>
      <w:r>
        <w:rPr>
          <w:bCs/>
          <w:b/>
        </w:rPr>
        <w:t xml:space="preserve">Circular Economy Enhancement:</w:t>
      </w:r>
      <w:r>
        <w:t xml:space="preserve"> </w:t>
      </w:r>
      <w:r>
        <w:t xml:space="preserve">Strengthen the existing circular/take-back programs (grqvkdqogm) to maximize component reuse and high-value material recycling, further increasing avoided emissions.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jetnythpth</dc:title>
  <dc:creator/>
  <dc:description>Detailed Product Carbon Footprint (PCF) analysis report for jetnythpth by dzoegvmtpq, Senior Sustainability Consultant at yrmnumhrhq, adhering to GHG Protocol standards and 2026 LSR updates.</dc:description>
  <dc:language>en</dc:language>
  <cp:keywords/>
  <dcterms:created xsi:type="dcterms:W3CDTF">2026-07-14T23:33:23Z</dcterms:created>
  <dcterms:modified xsi:type="dcterms:W3CDTF">2026-07-14T23:33:23Z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