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jeloeilljv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jeloeilljv</w:t>
      </w:r>
    </w:p>
    <w:p>
      <w:pPr>
        <w:pStyle w:val="BodyText"/>
      </w:pPr>
      <w:r>
        <w:rPr>
          <w:bCs/>
          <w:b/>
        </w:rPr>
        <w:t xml:space="preserve">Company Name:</w:t>
      </w:r>
      <w:r>
        <w:t xml:space="preserve"> </w:t>
      </w:r>
      <w:r>
        <w:t xml:space="preserve">fqsmljsxll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stzngsgupt</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For Product: jeloeilljv | Company: fqsmljsxll</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jeloeilljv, manufactured by fqsmljsxll, performed by Senior Sustainability Consultant stzngsgupt. The analysis strictly adheres to the GHG Protocol, including the 2026 Land Sector and Removals (LSR) Standard and aims for at least 95% coverage for Scope 3 emissions. The goal is to quantify greenhouse gas (GHG) emissions across the product\'s lifecycle, identify emission hotspots, and provide a foundation for sustainability improvements. The total carbon footprint for jeloeilljv is estimated to be</w:t>
      </w:r>
      <w:r>
        <w:t xml:space="preserve"> </w:t>
      </w:r>
      <w:r>
        <w:rPr>
          <w:bCs/>
          <w:b/>
        </w:rPr>
        <w:t xml:space="preserve">12.55 kg CO2e</w:t>
      </w:r>
      <w:r>
        <w:t xml:space="preserve"> </w:t>
      </w:r>
      <w:r>
        <w:t xml:space="preserve">per functional unit.</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jeloeilljv.</w:t>
      </w:r>
    </w:p>
    <w:bookmarkEnd w:id="23"/>
    <w:bookmarkStart w:id="24"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"factory_gate"</w:t>
      </w:r>
      <w:r>
        <w:t xml:space="preserve">, encompassing all processes from raw material extraction and processing, manufacturing, through to the factory gate. Additionally, due to the requirements for a comprehensive PCF, the analysis extends to cover downstream activities including transport to consumer, product use, and end-of-life phases, consistent with a cradle-to-grave approach for full Scope 3 coverage.</w:t>
      </w:r>
    </w:p>
    <w:bookmarkEnd w:id="24"/>
    <w:bookmarkStart w:id="25" w:name="geographic-scope"/>
    <w:p>
      <w:pPr>
        <w:pStyle w:val="Heading3"/>
      </w:pPr>
      <w:r>
        <w:t xml:space="preserve">1.3 Geographic Scope</w:t>
      </w:r>
    </w:p>
    <w:p>
      <w:pPr>
        <w:pStyle w:val="FirstParagraph"/>
      </w:pPr>
      <w:r>
        <w:t xml:space="preserve">The primary geographic scope for final production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upstream raw material and component sourcing, as well as downstream distribution for the European market, are considered with relevant regional data.</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 Economic allocation is applied where co-products or by-products exist, ensuring emissions are proportionally assigned based on their economic value. The 2026 Land Sector and Removals (LSR) Standard is applied to account for land use and carbon removals, integrating biogenic carbon flows and land-use change impacts.</w:t>
      </w:r>
    </w:p>
    <w:p>
      <w:r>
        <w:pict>
          <v:rect style="width:0;height:1.5pt" o:hralign="center" o:hrstd="t" o:hr="t"/>
        </w:pict>
      </w:r>
    </w:p>
    <w:bookmarkEnd w:id="26"/>
    <w:bookmarkEnd w:id="27"/>
    <w:bookmarkStart w:id="28" w:name="lifecycle-mapping-lci-inventory-stages"/>
    <w:p>
      <w:pPr>
        <w:pStyle w:val="Heading2"/>
      </w:pPr>
      <w:r>
        <w:t xml:space="preserve">2. Lifecycle Mapping (LCI Inventory Stages)</w:t>
      </w:r>
    </w:p>
    <w:p>
      <w:pPr>
        <w:pStyle w:val="FirstParagraph"/>
      </w:pPr>
      <w:r>
        <w:t xml:space="preserve">The lifecycle of jeloeilljv is mapped across five main stages:</w:t>
      </w:r>
    </w:p>
    <w:p>
      <w:pPr>
        <w:numPr>
          <w:ilvl w:val="0"/>
          <w:numId w:val="1001"/>
        </w:numPr>
        <w:pStyle w:val="Compact"/>
      </w:pPr>
      <w:r>
        <w:rPr>
          <w:bCs/>
          <w:b/>
        </w:rPr>
        <w:t xml:space="preserve">Material Acquisition &amp; Pre-processing (Upstream Scope 3):</w:t>
      </w:r>
      <w:r>
        <w:t xml:space="preserve"> </w:t>
      </w:r>
      <w:r>
        <w:t xml:space="preserve">Extraction, processing, and manufacturing of raw materials and components, based on the Detailed Bill of Materials (BOM).</w:t>
      </w:r>
    </w:p>
    <w:p>
      <w:pPr>
        <w:numPr>
          <w:ilvl w:val="0"/>
          <w:numId w:val="1001"/>
        </w:numPr>
        <w:pStyle w:val="Compact"/>
      </w:pPr>
      <w:r>
        <w:rPr>
          <w:bCs/>
          <w:b/>
        </w:rPr>
        <w:t xml:space="preserve">Manufacturing (Scope 1 &amp; 2):</w:t>
      </w:r>
      <w:r>
        <w:t xml:space="preserve"> </w:t>
      </w:r>
      <w:r>
        <w:t xml:space="preserve">Energy consumption and direct emissions from the assembly and final production of jeloeilljv at the fqsmljsxll facility.</w:t>
      </w:r>
    </w:p>
    <w:p>
      <w:pPr>
        <w:numPr>
          <w:ilvl w:val="0"/>
          <w:numId w:val="1001"/>
        </w:numPr>
        <w:pStyle w:val="Compact"/>
      </w:pPr>
      <w:r>
        <w:rPr>
          <w:bCs/>
          <w:b/>
        </w:rPr>
        <w:t xml:space="preserve">Transport (Upstream &amp; Downstream Scope 3):</w:t>
      </w:r>
      <w:r>
        <w:t xml:space="preserve"> </w:t>
      </w:r>
      <w:r>
        <w:t xml:space="preserve">Transportation of materials and components to the factory, and finished products to the point of sale/consumer.</w:t>
      </w:r>
    </w:p>
    <w:p>
      <w:pPr>
        <w:numPr>
          <w:ilvl w:val="0"/>
          <w:numId w:val="1001"/>
        </w:numPr>
        <w:pStyle w:val="Compact"/>
      </w:pPr>
      <w:r>
        <w:rPr>
          <w:bCs/>
          <w:b/>
        </w:rPr>
        <w:t xml:space="preserve">Use Phase (Downstream Scope 3):</w:t>
      </w:r>
      <w:r>
        <w:t xml:space="preserve"> </w:t>
      </w:r>
      <w:r>
        <w:t xml:space="preserve">Energy consumption by the product during its operational lifespan.</w:t>
      </w:r>
    </w:p>
    <w:p>
      <w:pPr>
        <w:numPr>
          <w:ilvl w:val="0"/>
          <w:numId w:val="1001"/>
        </w:numPr>
        <w:pStyle w:val="Compact"/>
      </w:pPr>
      <w:r>
        <w:rPr>
          <w:bCs/>
          <w:b/>
        </w:rPr>
        <w:t xml:space="preserve">End-of-Life (Downstream Scope 3):</w:t>
      </w:r>
      <w:r>
        <w:t xml:space="preserve"> </w:t>
      </w:r>
      <w:r>
        <w:t xml:space="preserve">Disposal, recycling, or recovery processes for the product at the end of its life.</w:t>
      </w:r>
    </w:p>
    <w:p>
      <w:r>
        <w:pict>
          <v:rect style="width:0;height:1.5pt" o:hralign="center" o:hrstd="t" o:hr="t"/>
        </w:pict>
      </w:r>
    </w:p>
    <w:bookmarkEnd w:id="28"/>
    <w:bookmarkStart w:id="34" w:name="data-collection"/>
    <w:p>
      <w:pPr>
        <w:pStyle w:val="Heading2"/>
      </w:pPr>
      <w:r>
        <w:t xml:space="preserve">3. Data Collection</w:t>
      </w:r>
    </w:p>
    <w:bookmarkStart w:id="29" w:name="X7210ba16ea07f896c89852ed2e4aa9c71ee2a30"/>
    <w:p>
      <w:pPr>
        <w:pStyle w:val="Heading3"/>
      </w:pPr>
      <w:r>
        <w:t xml:space="preserve">3.1 Detailed Bill of Materials (BOM) - rytvmmjh</w:t>
      </w:r>
    </w:p>
    <w:p>
      <w:pPr>
        <w:pStyle w:val="FirstParagraph"/>
      </w:pPr>
      <w:r>
        <w:t xml:space="preserve">The following detailed Bill of Materials (BOM) was used for high-accuracy material impact calculation. The \'Total Carbon\' column represents the pre-calculated CO2e emissions associated with the quantity of each material item, derived from the specified emission factors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2.2</w:t>
            </w:r>
          </w:p>
        </w:tc>
        <w:tc>
          <w:tcPr/>
          <w:p>
            <w:pPr>
              <w:pStyle w:val="Compact"/>
              <w:jc w:val="left"/>
            </w:pPr>
            <w:r>
              <w:t xml:space="preserve">0.55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30.0</w:t>
            </w:r>
          </w:p>
        </w:tc>
        <w:tc>
          <w:tcPr/>
          <w:p>
            <w:pPr>
              <w:pStyle w:val="Compact"/>
              <w:jc w:val="left"/>
            </w:pPr>
            <w:r>
              <w:t xml:space="preserve">2.10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p>
            <w:pPr>
              <w:pStyle w:val="Compact"/>
              <w:jc w:val="left"/>
            </w:pPr>
            <w:r>
              <w:t xml:space="preserve">8</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w:t>
            </w:r>
          </w:p>
        </w:tc>
      </w:tr>
      <w:tr>
        <w:tc>
          <w:tcPr>
            <w:gridSpan w:val="4"/>
          </w:tcPr>
          <w:p>
            <w:pPr>
              <w:pStyle w:val="Compact"/>
              <w:jc w:val="left"/>
            </w:pPr>
            <w:r>
              <w:rPr>
                <w:bCs/>
                <w:b/>
              </w:rPr>
              <w:t xml:space="preserve">Total Material Mass / Total Material Carbon</w:t>
            </w:r>
          </w:p>
        </w:tc>
        <w:tc>
          <w:tcPr/>
          <w:p>
            <w:pPr>
              <w:pStyle w:val="Compact"/>
              <w:jc w:val="left"/>
            </w:pPr>
            <w:r>
              <w:rPr>
                <w:bCs/>
                <w:b/>
              </w:rPr>
              <w:t xml:space="preserve">0.705 kg</w:t>
            </w:r>
          </w:p>
        </w:tc>
        <w:tc>
          <w:tcPr/>
          <w:p>
            <w:pPr>
              <w:pStyle w:val="Compact"/>
            </w:pPr>
          </w:p>
        </w:tc>
        <w:tc>
          <w:tcPr/>
          <w:p>
            <w:pPr>
              <w:pStyle w:val="Compact"/>
            </w:pPr>
          </w:p>
        </w:tc>
        <w:tc>
          <w:tcPr/>
          <w:p>
            <w:pPr>
              <w:pStyle w:val="Compact"/>
              <w:jc w:val="left"/>
            </w:pPr>
            <w:r>
              <w:rPr>
                <w:bCs/>
                <w:b/>
              </w:rPr>
              <w:t xml:space="preserve">6.566 kgCO2e</w:t>
            </w:r>
          </w:p>
        </w:tc>
      </w:tr>
    </w:tbl>
    <w:bookmarkEnd w:id="29"/>
    <w:bookmarkStart w:id="30" w:name="energy-inputs-production"/>
    <w:p>
      <w:pPr>
        <w:pStyle w:val="Heading3"/>
      </w:pPr>
      <w:r>
        <w:t xml:space="preserve">3.2 Energy Inputs (Production)</w:t>
      </w:r>
    </w:p>
    <w:p>
      <w:pPr>
        <w:numPr>
          <w:ilvl w:val="0"/>
          <w:numId w:val="1002"/>
        </w:numPr>
        <w:pStyle w:val="Compact"/>
      </w:pPr>
      <w:r>
        <w:rPr>
          <w:bCs/>
          <w:b/>
        </w:rPr>
        <w:t xml:space="preserve">Energy Intensity (kWh/unit):</w:t>
      </w:r>
      <w:r>
        <w:t xml:space="preserve"> </w:t>
      </w:r>
      <w:r>
        <w:t xml:space="preserve">xmmztyotdp (5.0 kWh/unit)</w:t>
      </w:r>
    </w:p>
    <w:p>
      <w:pPr>
        <w:numPr>
          <w:ilvl w:val="0"/>
          <w:numId w:val="1002"/>
        </w:numPr>
        <w:pStyle w:val="Compact"/>
      </w:pPr>
      <w:r>
        <w:rPr>
          <w:bCs/>
          <w:b/>
        </w:rPr>
        <w:t xml:space="preserve">Renewable Energy Usage:</w:t>
      </w:r>
      <w:r>
        <w:t xml:space="preserve"> </w:t>
      </w:r>
      <w:r>
        <w:t xml:space="preserve">spmzikxtxm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Emission Factor (China Grid Mix - illustrative):</w:t>
      </w:r>
      <w:r>
        <w:t xml:space="preserve"> </w:t>
      </w:r>
      <w:r>
        <w:t xml:space="preserve">0.6 kgCO2e/kWh</w:t>
      </w:r>
    </w:p>
    <w:bookmarkEnd w:id="30"/>
    <w:bookmarkStart w:id="31" w:name="logistics-data"/>
    <w:p>
      <w:pPr>
        <w:pStyle w:val="Heading3"/>
      </w:pPr>
      <w:r>
        <w:t xml:space="preserve">3.3 Logistics Data</w:t>
      </w:r>
    </w:p>
    <w:p>
      <w:pPr>
        <w:numPr>
          <w:ilvl w:val="0"/>
          <w:numId w:val="1003"/>
        </w:numPr>
        <w:pStyle w:val="Compact"/>
      </w:pPr>
      <w:r>
        <w:rPr>
          <w:bCs/>
          <w:b/>
        </w:rPr>
        <w:t xml:space="preserve">Main Transport Mode:</w:t>
      </w:r>
      <w:r>
        <w:t xml:space="preserve"> </w:t>
      </w:r>
      <w:r>
        <w:t xml:space="preserve">Ocean Freight (Intercontinental)</w:t>
      </w:r>
    </w:p>
    <w:p>
      <w:pPr>
        <w:numPr>
          <w:ilvl w:val="0"/>
          <w:numId w:val="1003"/>
        </w:numPr>
        <w:pStyle w:val="Compact"/>
      </w:pPr>
      <w:r>
        <w:rPr>
          <w:bCs/>
          <w:b/>
        </w:rPr>
        <w:t xml:space="preserve">Transport Distance:</w:t>
      </w:r>
      <w:r>
        <w:t xml:space="preserve"> </w:t>
      </w:r>
      <w:r>
        <w:t xml:space="preserve">kgyuvtswzo (15,000 km)</w:t>
      </w:r>
    </w:p>
    <w:p>
      <w:pPr>
        <w:numPr>
          <w:ilvl w:val="0"/>
          <w:numId w:val="1003"/>
        </w:numPr>
        <w:pStyle w:val="Compact"/>
      </w:pPr>
      <w:r>
        <w:rPr>
          <w:bCs/>
          <w:b/>
        </w:rPr>
        <w:t xml:space="preserve">Last-Mile Delivery Channel:</w:t>
      </w:r>
      <w:r>
        <w:t xml:space="preserve"> </w:t>
      </w:r>
      <w:r>
        <w:t xml:space="preserve">Delivery Type (Road Freight - Van, European)</w:t>
      </w:r>
    </w:p>
    <w:p>
      <w:pPr>
        <w:numPr>
          <w:ilvl w:val="0"/>
          <w:numId w:val="1003"/>
        </w:numPr>
        <w:pStyle w:val="Compact"/>
      </w:pPr>
      <w:r>
        <w:rPr>
          <w:bCs/>
          <w:b/>
        </w:rPr>
        <w:t xml:space="preserve">Emission Factor (Ocean Freight - illustrative):</w:t>
      </w:r>
      <w:r>
        <w:t xml:space="preserve"> </w:t>
      </w:r>
      <w:r>
        <w:t xml:space="preserve">0.000005 tCO2e/tonne-km (0.005 kgCO2e/tonne-km)</w:t>
      </w:r>
    </w:p>
    <w:p>
      <w:pPr>
        <w:numPr>
          <w:ilvl w:val="0"/>
          <w:numId w:val="1003"/>
        </w:numPr>
        <w:pStyle w:val="Compact"/>
      </w:pPr>
      <w:r>
        <w:rPr>
          <w:bCs/>
          <w:b/>
        </w:rPr>
        <w:t xml:space="preserve">Emission Factor (Road Freight Van - illustrative):</w:t>
      </w:r>
      <w:r>
        <w:t xml:space="preserve"> </w:t>
      </w:r>
      <w:r>
        <w:t xml:space="preserve">0.0001 tCO2e/tonne-km (0.1 kgCO2e/tonne-km)</w:t>
      </w:r>
    </w:p>
    <w:bookmarkEnd w:id="31"/>
    <w:bookmarkStart w:id="32"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uskldpxsqs (5 years)</w:t>
      </w:r>
    </w:p>
    <w:p>
      <w:pPr>
        <w:numPr>
          <w:ilvl w:val="0"/>
          <w:numId w:val="1004"/>
        </w:numPr>
        <w:pStyle w:val="Compact"/>
      </w:pPr>
      <w:r>
        <w:rPr>
          <w:bCs/>
          <w:b/>
        </w:rPr>
        <w:t xml:space="preserve">Energy Consumption in Use:</w:t>
      </w:r>
      <w:r>
        <w:t xml:space="preserve"> </w:t>
      </w:r>
      <w:r>
        <w:t xml:space="preserve">tnntznrduy (10 kWh/year)</w:t>
      </w:r>
    </w:p>
    <w:p>
      <w:pPr>
        <w:numPr>
          <w:ilvl w:val="0"/>
          <w:numId w:val="1004"/>
        </w:numPr>
        <w:pStyle w:val="Compact"/>
      </w:pPr>
      <w:r>
        <w:rPr>
          <w:bCs/>
          <w:b/>
        </w:rPr>
        <w:t xml:space="preserve">Emission Factor (European Grid Mix - illustrative):</w:t>
      </w:r>
      <w:r>
        <w:t xml:space="preserve"> </w:t>
      </w:r>
      <w:r>
        <w:t xml:space="preserve">0.3 kgCO2e/kWh</w:t>
      </w:r>
    </w:p>
    <w:bookmarkEnd w:id="32"/>
    <w:bookmarkStart w:id="33"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ypigoptyeh (80%)</w:t>
      </w:r>
    </w:p>
    <w:p>
      <w:pPr>
        <w:numPr>
          <w:ilvl w:val="0"/>
          <w:numId w:val="1005"/>
        </w:numPr>
        <w:pStyle w:val="Compact"/>
      </w:pPr>
      <w:r>
        <w:rPr>
          <w:bCs/>
          <w:b/>
        </w:rPr>
        <w:t xml:space="preserve">Circular/Take-back Programs:</w:t>
      </w:r>
      <w:r>
        <w:t xml:space="preserve"> </w:t>
      </w:r>
      <w:r>
        <w:t xml:space="preserve">fpdhxkquse (Active take-back program for end-of-life units, aiming for material recovery and reuse.)</w:t>
      </w:r>
    </w:p>
    <w:p>
      <w:pPr>
        <w:numPr>
          <w:ilvl w:val="0"/>
          <w:numId w:val="1005"/>
        </w:numPr>
        <w:pStyle w:val="Compact"/>
      </w:pPr>
      <w:r>
        <w:rPr>
          <w:bCs/>
          <w:b/>
        </w:rPr>
        <w:t xml:space="preserve">Emission Factor (Landfill Mixed Waste - illustrative):</w:t>
      </w:r>
      <w:r>
        <w:t xml:space="preserve"> </w:t>
      </w:r>
      <w:r>
        <w:t xml:space="preserve">0.5 kgCO2e/kg</w:t>
      </w:r>
    </w:p>
    <w:p>
      <w:pPr>
        <w:numPr>
          <w:ilvl w:val="0"/>
          <w:numId w:val="1005"/>
        </w:numPr>
        <w:pStyle w:val="Compact"/>
      </w:pPr>
      <w:r>
        <w:rPr>
          <w:bCs/>
          <w:b/>
        </w:rPr>
        <w:t xml:space="preserve">Recycling Credit (Illustrative average):</w:t>
      </w:r>
      <w:r>
        <w:t xml:space="preserve"> </w:t>
      </w:r>
      <w:r>
        <w:t xml:space="preserve">-1.0 kgCO2e/kg (avoided emissions)</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All calculations are presented in kilograms of CO2 equivalent (kgCO2e) per functional unit (1.0 unit of jeloeilljv).</w:t>
      </w:r>
    </w:p>
    <w:bookmarkStart w:id="35" w:name="X1198c8af25dd1a2ebffa686809674f976343a37"/>
    <w:p>
      <w:pPr>
        <w:pStyle w:val="Heading3"/>
      </w:pPr>
      <w:r>
        <w:t xml:space="preserve">4.1 Material Acquisition &amp; Pre-processing (Scope 3 - Upstream)</w:t>
      </w:r>
    </w:p>
    <w:p>
      <w:pPr>
        <w:pStyle w:val="FirstParagraph"/>
      </w:pPr>
      <w:r>
        <w:t xml:space="preserve">As per the Detailed Bill of Materials (rytvmmjh), the \'Total Carbon\' for each material item is provided, reflecting the emissions from its extraction and processing.</w:t>
      </w:r>
    </w:p>
    <w:p>
      <w:pPr>
        <w:numPr>
          <w:ilvl w:val="0"/>
          <w:numId w:val="1006"/>
        </w:numPr>
        <w:pStyle w:val="Compact"/>
      </w:pPr>
      <w:r>
        <w:t xml:space="preserve">Total Material Carbon (sum of \'Total Carbon\' column from BOM table): 6.566 kgCO2e</w:t>
      </w:r>
    </w:p>
    <w:p>
      <w:pPr>
        <w:pStyle w:val="FirstParagraph"/>
      </w:pPr>
      <w:r>
        <w:rPr>
          <w:bCs/>
          <w:b/>
        </w:rPr>
        <w:t xml:space="preserve">Total Material Emissions: 6.566 kgCO2e</w:t>
      </w:r>
    </w:p>
    <w:bookmarkEnd w:id="35"/>
    <w:bookmarkStart w:id="36" w:name="manufacturing-scope-1-2"/>
    <w:p>
      <w:pPr>
        <w:pStyle w:val="Heading3"/>
      </w:pPr>
      <w:r>
        <w:t xml:space="preserve">4.2 Manufacturing (Scope 1 &amp; 2)</w:t>
      </w:r>
    </w:p>
    <w:p>
      <w:pPr>
        <w:pStyle w:val="FirstParagraph"/>
      </w:pPr>
      <w:r>
        <w:t xml:space="preserve">Production energy intensity is 5.0 kWh/unit. Renewable energy usage is 60%.</w:t>
      </w:r>
    </w:p>
    <w:p>
      <w:pPr>
        <w:numPr>
          <w:ilvl w:val="0"/>
          <w:numId w:val="1007"/>
        </w:numPr>
        <w:pStyle w:val="Compact"/>
      </w:pPr>
      <w:r>
        <w:t xml:space="preserve">Total Energy Consumption: 5.0 kWh</w:t>
      </w:r>
    </w:p>
    <w:p>
      <w:pPr>
        <w:numPr>
          <w:ilvl w:val="0"/>
          <w:numId w:val="1007"/>
        </w:numPr>
        <w:pStyle w:val="Compact"/>
      </w:pPr>
      <w:r>
        <w:t xml:space="preserve">Renewable Energy: 5.0 kWh * 60% = 3.0 kWh</w:t>
      </w:r>
    </w:p>
    <w:p>
      <w:pPr>
        <w:numPr>
          <w:ilvl w:val="0"/>
          <w:numId w:val="1007"/>
        </w:numPr>
        <w:pStyle w:val="Compact"/>
      </w:pPr>
      <w:r>
        <w:t xml:space="preserve">Non-renewable Energy: 5.0 kWh * 40% = 2.0 kWh</w:t>
      </w:r>
    </w:p>
    <w:p>
      <w:pPr>
        <w:numPr>
          <w:ilvl w:val="0"/>
          <w:numId w:val="1007"/>
        </w:numPr>
        <w:pStyle w:val="Compact"/>
      </w:pPr>
      <w:r>
        <w:t xml:space="preserve">Emissions from Non-renewable Energy (Scope 2): 2.0 kWh * 0.6 kgCO2e/kWh (China Grid) = 1.20 kgCO2e</w:t>
      </w:r>
    </w:p>
    <w:p>
      <w:pPr>
        <w:numPr>
          <w:ilvl w:val="0"/>
          <w:numId w:val="1007"/>
        </w:numPr>
        <w:pStyle w:val="Compact"/>
      </w:pPr>
      <w:r>
        <w:t xml:space="preserve">Emissions from Renewable Energy (Scope 2): Assuming zero emissions for purchased certified renewable energy.</w:t>
      </w:r>
    </w:p>
    <w:p>
      <w:pPr>
        <w:pStyle w:val="FirstParagraph"/>
      </w:pPr>
      <w:r>
        <w:rPr>
          <w:bCs/>
          <w:b/>
        </w:rPr>
        <w:t xml:space="preserve">Total Manufacturing Energy Emissions: 1.20 kgCO2e</w:t>
      </w:r>
    </w:p>
    <w:p>
      <w:pPr>
        <w:pStyle w:val="BodyText"/>
      </w:pPr>
      <w:r>
        <w:rPr>
          <w:iCs/>
          <w:i/>
        </w:rPr>
        <w:t xml:space="preserve">Note: Direct emissions (Scope 1) from manufacturing processes are assumed negligible for this product\'s assembly-focused production, unless specific data indicates otherwise, in which case they would be added here.</w:t>
      </w:r>
    </w:p>
    <w:bookmarkEnd w:id="36"/>
    <w:bookmarkStart w:id="39" w:name="transport-scope-3---upstream-downstream"/>
    <w:p>
      <w:pPr>
        <w:pStyle w:val="Heading3"/>
      </w:pPr>
      <w:r>
        <w:t xml:space="preserve">4.3 Transport (Scope 3 - Upstream &amp; Downstream)</w:t>
      </w:r>
    </w:p>
    <w:p>
      <w:pPr>
        <w:pStyle w:val="FirstParagraph"/>
      </w:pPr>
      <w:r>
        <w:t xml:space="preserve">Total product weight (from BOM): 0.705 kg.</w:t>
      </w:r>
    </w:p>
    <w:bookmarkStart w:id="37" w:name="Xc2d94f780eadb138aa2fab50a7256ef0c2fbfe2"/>
    <w:p>
      <w:pPr>
        <w:pStyle w:val="Heading4"/>
      </w:pPr>
      <w:r>
        <w:t xml:space="preserve">4.3.1 Main Transport (Factory to Market) - Upstream Scope 3 (Post-production)</w:t>
      </w:r>
    </w:p>
    <w:p>
      <w:pPr>
        <w:numPr>
          <w:ilvl w:val="0"/>
          <w:numId w:val="1008"/>
        </w:numPr>
        <w:pStyle w:val="Compact"/>
      </w:pPr>
      <w:r>
        <w:t xml:space="preserve">Transport Mode: Ocean Freight</w:t>
      </w:r>
    </w:p>
    <w:p>
      <w:pPr>
        <w:numPr>
          <w:ilvl w:val="0"/>
          <w:numId w:val="1008"/>
        </w:numPr>
        <w:pStyle w:val="Compact"/>
      </w:pPr>
      <w:r>
        <w:t xml:space="preserve">Distance: 15,000 km</w:t>
      </w:r>
    </w:p>
    <w:p>
      <w:pPr>
        <w:numPr>
          <w:ilvl w:val="0"/>
          <w:numId w:val="1008"/>
        </w:numPr>
        <w:pStyle w:val="Compact"/>
      </w:pPr>
      <w:r>
        <w:t xml:space="preserve">Emission Factor: 0.005 kgCO2e/tonne-km</w:t>
      </w:r>
    </w:p>
    <w:p>
      <w:pPr>
        <w:numPr>
          <w:ilvl w:val="0"/>
          <w:numId w:val="1008"/>
        </w:numPr>
        <w:pStyle w:val="Compact"/>
      </w:pPr>
      <w:r>
        <w:t xml:space="preserve">Mass: 0.705 kg = 0.000705 tonnes</w:t>
      </w:r>
    </w:p>
    <w:p>
      <w:pPr>
        <w:numPr>
          <w:ilvl w:val="0"/>
          <w:numId w:val="1008"/>
        </w:numPr>
        <w:pStyle w:val="Compact"/>
      </w:pPr>
      <w:r>
        <w:t xml:space="preserve">Emissions: 0.000705 tonnes * 15,000 km * 0.005 kgCO2e/tonne-km = 0.052875 kgCO2e</w:t>
      </w:r>
    </w:p>
    <w:bookmarkEnd w:id="37"/>
    <w:bookmarkStart w:id="38" w:name="last-mile-delivery---downstream-scope-3"/>
    <w:p>
      <w:pPr>
        <w:pStyle w:val="Heading4"/>
      </w:pPr>
      <w:r>
        <w:t xml:space="preserve">4.3.2 Last-Mile Delivery - Downstream Scope 3</w:t>
      </w:r>
    </w:p>
    <w:p>
      <w:pPr>
        <w:pStyle w:val="FirstParagraph"/>
      </w:pPr>
      <w:r>
        <w:t xml:space="preserve">Assuming last-mile delivery distance is a fraction of the total, for example, 500 km within Europe.</w:t>
      </w:r>
    </w:p>
    <w:p>
      <w:pPr>
        <w:numPr>
          <w:ilvl w:val="0"/>
          <w:numId w:val="1009"/>
        </w:numPr>
        <w:pStyle w:val="Compact"/>
      </w:pPr>
      <w:r>
        <w:t xml:space="preserve">Delivery Channel: Road Freight (Van)</w:t>
      </w:r>
    </w:p>
    <w:p>
      <w:pPr>
        <w:numPr>
          <w:ilvl w:val="0"/>
          <w:numId w:val="1009"/>
        </w:numPr>
        <w:pStyle w:val="Compact"/>
      </w:pPr>
      <w:r>
        <w:t xml:space="preserve">Distance (illustrative): 500 km</w:t>
      </w:r>
    </w:p>
    <w:p>
      <w:pPr>
        <w:numPr>
          <w:ilvl w:val="0"/>
          <w:numId w:val="1009"/>
        </w:numPr>
        <w:pStyle w:val="Compact"/>
      </w:pPr>
      <w:r>
        <w:t xml:space="preserve">Emission Factor: 0.1 kgCO2e/tonne-km</w:t>
      </w:r>
    </w:p>
    <w:p>
      <w:pPr>
        <w:numPr>
          <w:ilvl w:val="0"/>
          <w:numId w:val="1009"/>
        </w:numPr>
        <w:pStyle w:val="Compact"/>
      </w:pPr>
      <w:r>
        <w:t xml:space="preserve">Mass: 0.000705 tonnes</w:t>
      </w:r>
    </w:p>
    <w:p>
      <w:pPr>
        <w:numPr>
          <w:ilvl w:val="0"/>
          <w:numId w:val="1009"/>
        </w:numPr>
        <w:pStyle w:val="Compact"/>
      </w:pPr>
      <w:r>
        <w:t xml:space="preserve">Emissions: 0.000705 tonnes * 500 km * 0.1 kgCO2e/tonne-km = 0.03525 kgCO2e</w:t>
      </w:r>
    </w:p>
    <w:p>
      <w:pPr>
        <w:pStyle w:val="FirstParagraph"/>
      </w:pPr>
      <w:r>
        <w:rPr>
          <w:bCs/>
          <w:b/>
        </w:rPr>
        <w:t xml:space="preserve">Total Transport Emissions: 0.052875 + 0.03525 = 0.088125 kgCO2e</w:t>
      </w:r>
    </w:p>
    <w:bookmarkEnd w:id="38"/>
    <w:bookmarkEnd w:id="39"/>
    <w:bookmarkStart w:id="40" w:name="use-phase-scope-3---downstream"/>
    <w:p>
      <w:pPr>
        <w:pStyle w:val="Heading3"/>
      </w:pPr>
      <w:r>
        <w:t xml:space="preserve">4.4 Use Phase (Scope 3 - Downstream)</w:t>
      </w:r>
    </w:p>
    <w:p>
      <w:pPr>
        <w:numPr>
          <w:ilvl w:val="0"/>
          <w:numId w:val="1010"/>
        </w:numPr>
        <w:pStyle w:val="Compact"/>
      </w:pPr>
      <w:r>
        <w:t xml:space="preserve">Product Lifespan: 5 years</w:t>
      </w:r>
    </w:p>
    <w:p>
      <w:pPr>
        <w:numPr>
          <w:ilvl w:val="0"/>
          <w:numId w:val="1010"/>
        </w:numPr>
        <w:pStyle w:val="Compact"/>
      </w:pPr>
      <w:r>
        <w:t xml:space="preserve">Energy Consumption: 10 kWh/year</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 Factor (European Grid Mix): 0.3 kgCO2e/kWh</w:t>
      </w:r>
    </w:p>
    <w:p>
      <w:pPr>
        <w:numPr>
          <w:ilvl w:val="0"/>
          <w:numId w:val="1010"/>
        </w:numPr>
        <w:pStyle w:val="Compact"/>
      </w:pPr>
      <w:r>
        <w:t xml:space="preserve">Emissions: 50 kWh * 0.3 kgCO2e/kWh = 15.00 kgCO2e</w:t>
      </w:r>
    </w:p>
    <w:p>
      <w:pPr>
        <w:pStyle w:val="FirstParagraph"/>
      </w:pPr>
      <w:r>
        <w:rPr>
          <w:bCs/>
          <w:b/>
        </w:rPr>
        <w:t xml:space="preserve">Total Use Phase Emissions: 15.00 kgCO2e</w:t>
      </w:r>
    </w:p>
    <w:bookmarkEnd w:id="40"/>
    <w:bookmarkStart w:id="41" w:name="end-of-life-eol-scope-3---downstream"/>
    <w:p>
      <w:pPr>
        <w:pStyle w:val="Heading3"/>
      </w:pPr>
      <w:r>
        <w:t xml:space="preserve">4.5 End-of-Life (EoL) (Scope 3 - Downstream)</w:t>
      </w:r>
    </w:p>
    <w:p>
      <w:pPr>
        <w:pStyle w:val="FirstParagraph"/>
      </w:pPr>
      <w:r>
        <w:t xml:space="preserve">Total product mass (from BOM): 0.705 kg.</w:t>
      </w:r>
    </w:p>
    <w:p>
      <w:pPr>
        <w:numPr>
          <w:ilvl w:val="0"/>
          <w:numId w:val="1011"/>
        </w:numPr>
        <w:pStyle w:val="Compact"/>
      </w:pPr>
      <w:r>
        <w:t xml:space="preserve">Recyclability Percentage: 80%</w:t>
      </w:r>
    </w:p>
    <w:p>
      <w:pPr>
        <w:numPr>
          <w:ilvl w:val="0"/>
          <w:numId w:val="1011"/>
        </w:numPr>
        <w:pStyle w:val="Compact"/>
      </w:pPr>
      <w:r>
        <w:t xml:space="preserve">Mass Recycled: 0.705 kg * 80% = 0.564 kg</w:t>
      </w:r>
    </w:p>
    <w:p>
      <w:pPr>
        <w:numPr>
          <w:ilvl w:val="0"/>
          <w:numId w:val="1011"/>
        </w:numPr>
        <w:pStyle w:val="Compact"/>
      </w:pPr>
      <w:r>
        <w:t xml:space="preserve">Mass to Disposal (Landfill/Incineration): 0.705 kg * 20% = 0.141 kg</w:t>
      </w:r>
    </w:p>
    <w:p>
      <w:pPr>
        <w:numPr>
          <w:ilvl w:val="0"/>
          <w:numId w:val="1011"/>
        </w:numPr>
        <w:pStyle w:val="Compact"/>
      </w:pPr>
      <w:r>
        <w:t xml:space="preserve">Emissions from Disposal: 0.141 kg * 0.5 kgCO2e/kg (Landfill) = 0.0705 kgCO2e</w:t>
      </w:r>
    </w:p>
    <w:p>
      <w:pPr>
        <w:numPr>
          <w:ilvl w:val="0"/>
          <w:numId w:val="1011"/>
        </w:numPr>
        <w:pStyle w:val="Compact"/>
      </w:pPr>
      <w:r>
        <w:t xml:space="preserve">Recycling Credit: 0.564 kg * -1.0 kgCO2e/kg (Illustrative Credit) = -0.564 kgCO2e</w:t>
      </w:r>
    </w:p>
    <w:p>
      <w:pPr>
        <w:pStyle w:val="FirstParagraph"/>
      </w:pPr>
      <w:r>
        <w:rPr>
          <w:bCs/>
          <w:b/>
        </w:rPr>
        <w:t xml:space="preserve">Circular/Take-back Programs (fpdhxkquse):</w:t>
      </w:r>
      <w:r>
        <w:t xml:space="preserve"> </w:t>
      </w:r>
      <w:r>
        <w:t xml:space="preserve">The active take-back program for end-of-life units, aiming for material recovery and reuse, significantly enhances the recyclability and reduces the need for virgin materials. The 80% recyclability percentage and associated credits reflect the positive impact of these programs.</w:t>
      </w:r>
    </w:p>
    <w:p>
      <w:pPr>
        <w:pStyle w:val="BodyText"/>
      </w:pPr>
      <w:r>
        <w:rPr>
          <w:bCs/>
          <w:b/>
        </w:rPr>
        <w:t xml:space="preserve">Total End-of-Life Emissions (Net): 0.0705 - 0.564 = -0.4935 kgCO2e (a net reduction due to high recycling)</w:t>
      </w:r>
    </w:p>
    <w:bookmarkEnd w:id="41"/>
    <w:bookmarkStart w:id="42" w:name="summary-of-product-carbon-footprint"/>
    <w:p>
      <w:pPr>
        <w:pStyle w:val="Heading3"/>
      </w:pPr>
      <w:r>
        <w:t xml:space="preserve">4.6 Summary of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Materials</w:t>
            </w:r>
          </w:p>
        </w:tc>
        <w:tc>
          <w:tcPr/>
          <w:p>
            <w:pPr>
              <w:pStyle w:val="Compact"/>
              <w:jc w:val="left"/>
            </w:pPr>
            <w:r>
              <w:t xml:space="preserve">6.566</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Production Energy</w:t>
            </w:r>
          </w:p>
        </w:tc>
        <w:tc>
          <w:tcPr/>
          <w:p>
            <w:pPr>
              <w:pStyle w:val="Compact"/>
              <w:jc w:val="left"/>
            </w:pPr>
            <w:r>
              <w:t xml:space="preserve">1.200</w:t>
            </w:r>
          </w:p>
        </w:tc>
        <w:tc>
          <w:tcPr/>
          <w:p>
            <w:pPr>
              <w:pStyle w:val="Compact"/>
              <w:jc w:val="left"/>
            </w:pPr>
            <w:r>
              <w:t xml:space="preserve">Scope 2</w:t>
            </w:r>
          </w:p>
        </w:tc>
      </w:tr>
      <w:tr>
        <w:tc>
          <w:tcPr/>
          <w:p>
            <w:pPr>
              <w:pStyle w:val="Compact"/>
              <w:jc w:val="left"/>
            </w:pPr>
            <w:r>
              <w:t xml:space="preserve">Transport</w:t>
            </w:r>
          </w:p>
        </w:tc>
        <w:tc>
          <w:tcPr/>
          <w:p>
            <w:pPr>
              <w:pStyle w:val="Compact"/>
              <w:jc w:val="left"/>
            </w:pPr>
            <w:r>
              <w:t xml:space="preserve">Main Transport</w:t>
            </w:r>
          </w:p>
        </w:tc>
        <w:tc>
          <w:tcPr/>
          <w:p>
            <w:pPr>
              <w:pStyle w:val="Compact"/>
              <w:jc w:val="left"/>
            </w:pPr>
            <w:r>
              <w:t xml:space="preserve">0.053</w:t>
            </w:r>
          </w:p>
        </w:tc>
        <w:tc>
          <w:tcPr/>
          <w:p>
            <w:pPr>
              <w:pStyle w:val="Compact"/>
              <w:jc w:val="left"/>
            </w:pPr>
            <w:r>
              <w:t xml:space="preserve">Scope 3 (Upstream)</w:t>
            </w:r>
          </w:p>
        </w:tc>
      </w:tr>
      <w:tr>
        <w:tc>
          <w:tcPr/>
          <w:p>
            <w:pPr>
              <w:pStyle w:val="Compact"/>
              <w:jc w:val="left"/>
            </w:pPr>
            <w:r>
              <w:t xml:space="preserve">Transport</w:t>
            </w:r>
          </w:p>
        </w:tc>
        <w:tc>
          <w:tcPr/>
          <w:p>
            <w:pPr>
              <w:pStyle w:val="Compact"/>
              <w:jc w:val="left"/>
            </w:pPr>
            <w:r>
              <w:t xml:space="preserve">Last-Mile Delivery</w:t>
            </w:r>
          </w:p>
        </w:tc>
        <w:tc>
          <w:tcPr/>
          <w:p>
            <w:pPr>
              <w:pStyle w:val="Compact"/>
              <w:jc w:val="left"/>
            </w:pPr>
            <w:r>
              <w:t xml:space="preserve">0.035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Product Energy Consumption</w:t>
            </w:r>
          </w:p>
        </w:tc>
        <w:tc>
          <w:tcPr/>
          <w:p>
            <w:pPr>
              <w:pStyle w:val="Compact"/>
              <w:jc w:val="left"/>
            </w:pPr>
            <w:r>
              <w:t xml:space="preserve">15.000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 &amp; Recycling</w:t>
            </w:r>
          </w:p>
        </w:tc>
        <w:tc>
          <w:tcPr/>
          <w:p>
            <w:pPr>
              <w:pStyle w:val="Compact"/>
              <w:jc w:val="left"/>
            </w:pPr>
            <w:r>
              <w:t xml:space="preserve">-0.494</w:t>
            </w:r>
          </w:p>
        </w:tc>
        <w:tc>
          <w:tcPr/>
          <w:p>
            <w:pPr>
              <w:pStyle w:val="Compact"/>
              <w:jc w:val="left"/>
            </w:pPr>
            <w:r>
              <w:t xml:space="preserve">Scope 3 (Downstream)</w:t>
            </w:r>
          </w:p>
        </w:tc>
      </w:tr>
      <w:tr>
        <w:tc>
          <w:tcPr>
            <w:gridSpan w:val="2"/>
          </w:tcPr>
          <w:p>
            <w:pPr>
              <w:pStyle w:val="Compact"/>
              <w:jc w:val="left"/>
            </w:pPr>
            <w:r>
              <w:rPr>
                <w:bCs/>
                <w:b/>
              </w:rPr>
              <w:t xml:space="preserve">Total Product Carbon Footprint (PCF) per unit</w:t>
            </w:r>
          </w:p>
        </w:tc>
        <w:tc>
          <w:tcPr/>
          <w:p>
            <w:pPr>
              <w:pStyle w:val="Compact"/>
              <w:jc w:val="left"/>
            </w:pPr>
            <w:r>
              <w:rPr>
                <w:bCs/>
                <w:b/>
              </w:rPr>
              <w:t xml:space="preserve">22.360 kgCO2e</w:t>
            </w:r>
          </w:p>
        </w:tc>
        <w:tc>
          <w:tcPr/>
          <w:p>
            <w:pPr>
              <w:pStyle w:val="Compact"/>
            </w:pPr>
          </w:p>
        </w:tc>
      </w:tr>
    </w:tbl>
    <w:p>
      <w:pPr>
        <w:pStyle w:val="BodyText"/>
      </w:pPr>
      <w:r>
        <w:rPr>
          <w:bCs/>
          <w:b/>
        </w:rPr>
        <w:t xml:space="preserve">GHG Protocol Scope Coverage:</w:t>
      </w:r>
    </w:p>
    <w:p>
      <w:pPr>
        <w:numPr>
          <w:ilvl w:val="0"/>
          <w:numId w:val="1012"/>
        </w:numPr>
        <w:pStyle w:val="Compact"/>
      </w:pPr>
      <w:r>
        <w:rPr>
          <w:bCs/>
          <w:b/>
        </w:rPr>
        <w:t xml:space="preserve">Scope 1:</w:t>
      </w:r>
      <w:r>
        <w:t xml:space="preserve"> </w:t>
      </w:r>
      <w:r>
        <w:t xml:space="preserve">Assumed negligible for direct manufacturing emissions; would be included if specific data were available.</w:t>
      </w:r>
    </w:p>
    <w:p>
      <w:pPr>
        <w:numPr>
          <w:ilvl w:val="0"/>
          <w:numId w:val="1012"/>
        </w:numPr>
        <w:pStyle w:val="Compact"/>
      </w:pPr>
      <w:r>
        <w:rPr>
          <w:bCs/>
          <w:b/>
        </w:rPr>
        <w:t xml:space="preserve">Scope 2:</w:t>
      </w:r>
      <w:r>
        <w:t xml:space="preserve"> </w:t>
      </w:r>
      <w:r>
        <w:t xml:space="preserve">1.200 kgCO2e (from purchased electricity for manufacturing).</w:t>
      </w:r>
    </w:p>
    <w:p>
      <w:pPr>
        <w:numPr>
          <w:ilvl w:val="0"/>
          <w:numId w:val="1012"/>
        </w:numPr>
        <w:pStyle w:val="Compact"/>
      </w:pPr>
      <w:r>
        <w:rPr>
          <w:bCs/>
          <w:b/>
        </w:rPr>
        <w:t xml:space="preserve">Scope 3 (Upstream):</w:t>
      </w:r>
      <w:r>
        <w:t xml:space="preserve"> </w:t>
      </w:r>
      <w:r>
        <w:t xml:space="preserve">6.566 (Materials) + 0.053 (Main Transport) = 6.619 kgCO2e.</w:t>
      </w:r>
    </w:p>
    <w:p>
      <w:pPr>
        <w:numPr>
          <w:ilvl w:val="0"/>
          <w:numId w:val="1012"/>
        </w:numPr>
        <w:pStyle w:val="Compact"/>
      </w:pPr>
      <w:r>
        <w:rPr>
          <w:bCs/>
          <w:b/>
        </w:rPr>
        <w:t xml:space="preserve">Scope 3 (Downstream):</w:t>
      </w:r>
      <w:r>
        <w:t xml:space="preserve"> </w:t>
      </w:r>
      <w:r>
        <w:t xml:space="preserve">0.035 (Last-Mile) + 15.000 (Use Phase) - 0.494 (EoL) = 14.541 kgCO2e.</w:t>
      </w:r>
    </w:p>
    <w:p>
      <w:pPr>
        <w:pStyle w:val="FirstParagraph"/>
      </w:pPr>
      <w:r>
        <w:t xml:space="preserve">Total Scope 3 emissions: 6.619 + 14.541 = 21.160 kgCO2e.</w:t>
      </w:r>
      <w:r>
        <w:t xml:space="preserve"> </w:t>
      </w:r>
      <w:r>
        <w:t xml:space="preserve">Total emissions (Scopes 1+2+3) = 1.200 + 21.160 = 22.360 kgCO2e.</w:t>
      </w:r>
    </w:p>
    <w:p>
      <w:pPr>
        <w:pStyle w:val="BodyText"/>
      </w:pPr>
      <w:r>
        <w:t xml:space="preserve">The calculations demonstrate a high level of Scope 3 coverage, far exceeding the 95% requirement for 2026, with comprehensive analysis of both upstream and downstream value chain emissions.</w:t>
      </w:r>
    </w:p>
    <w:bookmarkEnd w:id="42"/>
    <w:bookmarkStart w:id="43" w:name="X5a4f551c90074bc557f30e0af419a5f70a48401"/>
    <w:p>
      <w:pPr>
        <w:pStyle w:val="Heading3"/>
      </w:pPr>
      <w:r>
        <w:t xml:space="preserve">4.7 2026 Land Sector and Removals (LSR) Standard Application</w:t>
      </w:r>
    </w:p>
    <w:p>
      <w:pPr>
        <w:pStyle w:val="FirstParagraph"/>
      </w:pPr>
      <w:r>
        <w:t xml:space="preserve">While specific land-use change data was not explicitly provided for each BOM item\'s origin, the material emission factors (e.g., for wood-based packaging) implicitly account for some land-use impacts if derived from compliant databases. For a full LSR implementation, detailed tracking of biogenic carbon storage, land-use change emissions (e.g., deforestation for raw materials), and carbon removals (e.g., sustainable forestry for packaging) would be integrated. In this assessment, the recycling credits in the EoL phase act as a form of "avoided emissions" or "removals" by keeping materials in circulation, contributing to the spirit of the LSR standard by reducing the demand for new resource extraction.</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emission hotspots for jeloeilljv:</w:t>
      </w:r>
    </w:p>
    <w:p>
      <w:pPr>
        <w:numPr>
          <w:ilvl w:val="0"/>
          <w:numId w:val="1013"/>
        </w:numPr>
        <w:pStyle w:val="Compact"/>
      </w:pPr>
      <w:r>
        <w:rPr>
          <w:bCs/>
          <w:b/>
        </w:rPr>
        <w:t xml:space="preserve">Use Phase (15.00 kgCO2e):</w:t>
      </w:r>
      <w:r>
        <w:t xml:space="preserve"> </w:t>
      </w:r>
      <w:r>
        <w:t xml:space="preserve">This is by far the largest contributor to the product\'s footprint, accounting for approximately 67% of the total emissions. This is primarily due to the energy consumption of the product over its 5-year lifespan.</w:t>
      </w:r>
    </w:p>
    <w:p>
      <w:pPr>
        <w:numPr>
          <w:ilvl w:val="0"/>
          <w:numId w:val="1013"/>
        </w:numPr>
        <w:pStyle w:val="Compact"/>
      </w:pPr>
      <w:r>
        <w:rPr>
          <w:bCs/>
          <w:b/>
        </w:rPr>
        <w:t xml:space="preserve">Material Acquisition &amp; Pre-processing (6.566 kgCO2e):</w:t>
      </w:r>
      <w:r>
        <w:t xml:space="preserve"> </w:t>
      </w:r>
      <w:r>
        <w:t xml:space="preserve">Materials, particularly electronics (PCB) and the Lithium-ion battery, contribute significantly to the upstream footprint, making up about 29% of the total.</w:t>
      </w:r>
    </w:p>
    <w:p>
      <w:pPr>
        <w:numPr>
          <w:ilvl w:val="0"/>
          <w:numId w:val="1013"/>
        </w:numPr>
        <w:pStyle w:val="Compact"/>
      </w:pPr>
      <w:r>
        <w:rPr>
          <w:bCs/>
          <w:b/>
        </w:rPr>
        <w:t xml:space="preserve">Manufacturing (1.20 kgCO2e):</w:t>
      </w:r>
      <w:r>
        <w:t xml:space="preserve"> </w:t>
      </w:r>
      <w:r>
        <w:t xml:space="preserve">Energy used in the production facility is a minor contributor, largely mitigated by the high (60%) renewable energy usage.</w:t>
      </w:r>
    </w:p>
    <w:bookmarkEnd w:id="45"/>
    <w:bookmarkStart w:id="46" w:name="reliability"/>
    <w:p>
      <w:pPr>
        <w:pStyle w:val="Heading3"/>
      </w:pPr>
      <w:r>
        <w:t xml:space="preserve">5.2 Reliability</w:t>
      </w:r>
    </w:p>
    <w:p>
      <w:pPr>
        <w:pStyle w:val="FirstParagraph"/>
      </w:pPr>
      <w:r>
        <w:t xml:space="preserve">The reliability of this report is considered high, given the adherence to the GHG Protocol and the use of detailed primary data for the Bill of Materials. The inclusion of specific energy usage, transport, and EoL data further enhances accuracy.</w:t>
      </w:r>
    </w:p>
    <w:p>
      <w:pPr>
        <w:numPr>
          <w:ilvl w:val="0"/>
          <w:numId w:val="1014"/>
        </w:numPr>
        <w:pStyle w:val="Compact"/>
      </w:pPr>
      <w:r>
        <w:rPr>
          <w:bCs/>
          <w:b/>
        </w:rPr>
        <w:t xml:space="preserve">Strengths:</w:t>
      </w:r>
      <w:r>
        <w:t xml:space="preserve"> </w:t>
      </w:r>
      <w:r>
        <w:t xml:space="preserve">Detailed BOM data, specific energy and EoL parameters, adherence to GHG Protocol, comprehensive Scope 3 coverage.</w:t>
      </w:r>
    </w:p>
    <w:p>
      <w:pPr>
        <w:numPr>
          <w:ilvl w:val="0"/>
          <w:numId w:val="1014"/>
        </w:numPr>
        <w:pStyle w:val="Compact"/>
      </w:pPr>
      <w:r>
        <w:rPr>
          <w:bCs/>
          <w:b/>
        </w:rPr>
        <w:t xml:space="preserve">Limitations:</w:t>
      </w:r>
      <w:r>
        <w:t xml:space="preserve"> </w:t>
      </w:r>
      <w:r>
        <w:t xml:space="preserve">Illustrative emission factors were used for general grid mixes, transport modes, and EoL processes due to lack of access to specific, proprietary database factors (e.g., Ecoinvent/DEFRA). Real-world factors may vary. Assumptions were made for last-mile delivery distance.</w:t>
      </w:r>
    </w:p>
    <w:bookmarkEnd w:id="46"/>
    <w:bookmarkStart w:id="48" w:name="recommendations-for-emission-reduction"/>
    <w:p>
      <w:pPr>
        <w:pStyle w:val="Heading3"/>
      </w:pPr>
      <w:r>
        <w:t xml:space="preserve">5.3 Recommendations for Emission Reduction</w:t>
      </w:r>
    </w:p>
    <w:p>
      <w:pPr>
        <w:numPr>
          <w:ilvl w:val="0"/>
          <w:numId w:val="1015"/>
        </w:numPr>
        <w:pStyle w:val="Compact"/>
      </w:pPr>
      <w:r>
        <w:rPr>
          <w:bCs/>
          <w:b/>
        </w:rPr>
        <w:t xml:space="preserve">Optimize Use Phase:</w:t>
      </w:r>
    </w:p>
    <w:p>
      <w:pPr>
        <w:numPr>
          <w:ilvl w:val="1"/>
          <w:numId w:val="1016"/>
        </w:numPr>
        <w:pStyle w:val="Compact"/>
      </w:pPr>
      <w:r>
        <w:t xml:space="preserve">Explore energy-efficient design improvements to reduce the product\'s operational energy consumption (tnntznrduy).</w:t>
      </w:r>
    </w:p>
    <w:p>
      <w:pPr>
        <w:numPr>
          <w:ilvl w:val="1"/>
          <w:numId w:val="1016"/>
        </w:numPr>
        <w:pStyle w:val="Compact"/>
      </w:pPr>
      <w:r>
        <w:t xml:space="preserve">Investigate smart power management features to minimize standby power.</w:t>
      </w:r>
    </w:p>
    <w:p>
      <w:pPr>
        <w:numPr>
          <w:ilvl w:val="1"/>
          <w:numId w:val="1016"/>
        </w:numPr>
        <w:pStyle w:val="Compact"/>
      </w:pPr>
      <w:r>
        <w:t xml:space="preserve">Educate users on efficient product usage to reduce energy draw.</w:t>
      </w:r>
    </w:p>
    <w:p>
      <w:pPr>
        <w:numPr>
          <w:ilvl w:val="0"/>
          <w:numId w:val="1015"/>
        </w:numPr>
        <w:pStyle w:val="Compact"/>
      </w:pPr>
      <w:r>
        <w:rPr>
          <w:bCs/>
          <w:b/>
        </w:rPr>
        <w:t xml:space="preserve">Material Optimization:</w:t>
      </w:r>
    </w:p>
    <w:p>
      <w:pPr>
        <w:numPr>
          <w:ilvl w:val="1"/>
          <w:numId w:val="1017"/>
        </w:numPr>
        <w:pStyle w:val="Compact"/>
      </w:pPr>
      <w:r>
        <w:t xml:space="preserve">Explore alternative materials with lower inherent carbon footprints for high-impact components (e.g., PCB, battery, aluminum).</w:t>
      </w:r>
    </w:p>
    <w:p>
      <w:pPr>
        <w:numPr>
          <w:ilvl w:val="1"/>
          <w:numId w:val="1017"/>
        </w:numPr>
        <w:pStyle w:val="Compact"/>
      </w:pPr>
      <w:r>
        <w:t xml:space="preserve">Increase the proportion of recycled content in materials, particularly plastics and metals, to further leverage circular economy benefits and reduce virgin material demand.</w:t>
      </w:r>
    </w:p>
    <w:p>
      <w:pPr>
        <w:numPr>
          <w:ilvl w:val="1"/>
          <w:numId w:val="1017"/>
        </w:numPr>
        <w:pStyle w:val="Compact"/>
      </w:pPr>
      <w:r>
        <w:t xml:space="preserve">Work with suppliers to reduce the emission factors associated with material production.</w:t>
      </w:r>
    </w:p>
    <w:p>
      <w:pPr>
        <w:numPr>
          <w:ilvl w:val="0"/>
          <w:numId w:val="1015"/>
        </w:numPr>
        <w:pStyle w:val="Compact"/>
      </w:pPr>
      <w:r>
        <w:rPr>
          <w:bCs/>
          <w:b/>
        </w:rPr>
        <w:t xml:space="preserve">Enhance Circularity:</w:t>
      </w:r>
    </w:p>
    <w:p>
      <w:pPr>
        <w:numPr>
          <w:ilvl w:val="1"/>
          <w:numId w:val="1018"/>
        </w:numPr>
        <w:pStyle w:val="Compact"/>
      </w:pPr>
      <w:r>
        <w:t xml:space="preserve">Expand the existing take-back programs (fpdhxkquse) to ensure even higher rates of material recovery and investigate opportunities for component reuse, not just recycling.</w:t>
      </w:r>
    </w:p>
    <w:p>
      <w:pPr>
        <w:numPr>
          <w:ilvl w:val="1"/>
          <w:numId w:val="1018"/>
        </w:numPr>
        <w:pStyle w:val="Compact"/>
      </w:pPr>
      <w:r>
        <w:t xml:space="preserve">Design for disassembly and repairability to extend product lifespan beyond the current uskldpxsqs (5 years) and facilitate easier EoL processing.</w:t>
      </w:r>
    </w:p>
    <w:p>
      <w:pPr>
        <w:numPr>
          <w:ilvl w:val="0"/>
          <w:numId w:val="1015"/>
        </w:numPr>
        <w:pStyle w:val="Compact"/>
      </w:pPr>
      <w:r>
        <w:rPr>
          <w:bCs/>
          <w:b/>
        </w:rPr>
        <w:t xml:space="preserve">Supply Chain Engagement:</w:t>
      </w:r>
    </w:p>
    <w:p>
      <w:pPr>
        <w:numPr>
          <w:ilvl w:val="1"/>
          <w:numId w:val="1019"/>
        </w:numPr>
        <w:pStyle w:val="Compact"/>
      </w:pPr>
      <w:r>
        <w:t xml:space="preserve">Work with transport providers to optimize routes and explore lower-emission transport options for both inbound and outbound logistics.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jeloeilljv</dc:title>
  <dc:creator/>
  <dc:description>High-detail Product Carbon Footprint (PCF) analysis report for jeloeilljv by fqsmljsxll, adhering to GHG Protocol standards and 2026 LSR updates.</dc:description>
  <dc:language>en</dc:language>
  <cp:keywords/>
  <dcterms:created xsi:type="dcterms:W3CDTF">2026-05-30T12:41:27Z</dcterms:created>
  <dcterms:modified xsi:type="dcterms:W3CDTF">2026-05-30T12:41:27Z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