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jeinxjzmvm</w:t>
      </w:r>
    </w:p>
    <w:bookmarkStart w:id="20" w:name="carboncalcpcf.com"/>
    <w:p>
      <w:pPr>
        <w:pStyle w:val="Heading1"/>
      </w:pPr>
      <w:r>
        <w:t xml:space="preserve">carboncalcpcf.com</w:t>
      </w:r>
    </w:p>
    <w:p>
      <w:pPr>
        <w:pStyle w:val="FirstParagraph"/>
      </w:pPr>
      <w:r>
        <w:rPr>
          <w:bCs/>
          <w:b/>
        </w:rPr>
        <w:t xml:space="preserve">Product Carbon Footprint Report</w:t>
      </w:r>
    </w:p>
    <w:p>
      <w:pPr>
        <w:pStyle w:val="BodyText"/>
      </w:pPr>
      <w:r>
        <w:t xml:space="preserve">For:</w:t>
      </w:r>
      <w:r>
        <w:t xml:space="preserve"> </w:t>
      </w:r>
      <w:r>
        <w:rPr>
          <w:bCs/>
          <w:b/>
        </w:rPr>
        <w:t xml:space="preserve">jeinxjzmvm</w:t>
      </w:r>
    </w:p>
    <w:p>
      <w:pPr>
        <w:pStyle w:val="BodyText"/>
      </w:pPr>
      <w:r>
        <w:t xml:space="preserve">Company:</w:t>
      </w:r>
      <w:r>
        <w:t xml:space="preserve"> </w:t>
      </w:r>
      <w:r>
        <w:rPr>
          <w:bCs/>
          <w:b/>
        </w:rPr>
        <w:t xml:space="preserve">fysphxeffk</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ugqfnizqzr</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40" w:name="X461ae3a9f1ae88fbc9a34be38438fd745d98453"/>
    <w:p>
      <w:pPr>
        <w:pStyle w:val="Heading1"/>
      </w:pPr>
      <w:r>
        <w:t xml:space="preserve">Product Carbon Footprint Report for jeinxjzmvm</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jeinxjzmvm</w:t>
      </w:r>
      <w:r>
        <w:t xml:space="preserve">, produced by</w:t>
      </w:r>
      <w:r>
        <w:t xml:space="preserve"> </w:t>
      </w:r>
      <w:r>
        <w:rPr>
          <w:bCs/>
          <w:b/>
        </w:rPr>
        <w:t xml:space="preserve">fysphxeffk</w:t>
      </w:r>
      <w:r>
        <w:t xml:space="preserve">. The analysis, conducted by Senior Sustainability Consultant</w:t>
      </w:r>
      <w:r>
        <w:t xml:space="preserve"> </w:t>
      </w:r>
      <w:r>
        <w:rPr>
          <w:bCs/>
          <w:b/>
        </w:rPr>
        <w:t xml:space="preserve">ugqfnizqzr</w:t>
      </w:r>
      <w:r>
        <w:t xml:space="preserve">, adheres to the GHG Protocol standards, including considerations for the 2026 Land Sector and Removals (LSR) update and Scope 3 compliance. The PCF quantifies the total greenhouse gas emissions associated with the product\'s life cycle, from raw material acquisition to end-of-life, expressed in kilograms of carbon dioxide equivalent (kg CO2e) per functional unit (1.0 unit). This assessment aims to identify key emission hotspots and provide a baseline for future sustainability improvements.</w:t>
      </w:r>
    </w:p>
    <w:p>
      <w:r>
        <w:pict>
          <v:rect style="width:0;height:1.5pt" o:hralign="center" o:hrstd="t" o:hr="t"/>
        </w:pict>
      </w:r>
    </w:p>
    <w:bookmarkEnd w:id="21"/>
    <w:bookmarkStart w:id="22"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jeinxjzmvm</w:t>
      </w:r>
      <w:r>
        <w:t xml:space="preserve"> </w:t>
      </w:r>
      <w:r>
        <w:t xml:space="preserve">follows the five-step methodology recommended by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jeinxjzmvm.</w:t>
      </w:r>
    </w:p>
    <w:p>
      <w:pPr>
        <w:numPr>
          <w:ilvl w:val="1"/>
          <w:numId w:val="1002"/>
        </w:numPr>
        <w:pStyle w:val="Compact"/>
      </w:pPr>
      <w:r>
        <w:rPr>
          <w:bCs/>
          <w:b/>
        </w:rPr>
        <w:t xml:space="preserve">System Boundary:</w:t>
      </w:r>
      <w:r>
        <w:t xml:space="preserve"> </w:t>
      </w:r>
      <w:r>
        <w:t xml:space="preserve">Cradle-to-grave, with a primary focus on the \'factory_gate\' for direct operational control, and comprehensive inclusion of upstream (material acquisition, pre-processing, transport) and downstream (use phase, end-of-life) Scope 3 emissions.</w:t>
      </w:r>
    </w:p>
    <w:p>
      <w:pPr>
        <w:numPr>
          <w:ilvl w:val="1"/>
          <w:numId w:val="1002"/>
        </w:numPr>
        <w:pStyle w:val="Compact"/>
      </w:pPr>
      <w:r>
        <w:rPr>
          <w:bCs/>
          <w:b/>
        </w:rPr>
        <w:t xml:space="preserve">Geographic Scope:</w:t>
      </w:r>
      <w:r>
        <w:t xml:space="preserve"> </w:t>
      </w:r>
      <w:r>
        <w:t xml:space="preserve">Final Production Country: China. Supply Chain Focus: Europe Focused. This implies that manufacturing impacts are assessed with Chinese electricity grid data, while the use phase and certain downstream logistics may reflect European conditions.</w:t>
      </w:r>
    </w:p>
    <w:p>
      <w:pPr>
        <w:numPr>
          <w:ilvl w:val="1"/>
          <w:numId w:val="1002"/>
        </w:numPr>
        <w:pStyle w:val="Compact"/>
      </w:pPr>
      <w:r>
        <w:rPr>
          <w:bCs/>
          <w:b/>
        </w:rPr>
        <w:t xml:space="preserve">Allocation:</w:t>
      </w:r>
      <w:r>
        <w:t xml:space="preserve"> </w:t>
      </w:r>
      <w:r>
        <w:t xml:space="preserve">Emissions are allocated directly to the functional unit based on material quantities, energy consumption, and transport distances. Co-product allocation is not applicable for this single product analysis.</w:t>
      </w:r>
    </w:p>
    <w:p>
      <w:pPr>
        <w:numPr>
          <w:ilvl w:val="0"/>
          <w:numId w:val="1001"/>
        </w:numPr>
        <w:pStyle w:val="Compact"/>
      </w:pPr>
      <w:r>
        <w:rPr>
          <w:bCs/>
          <w:b/>
        </w:rPr>
        <w:t xml:space="preserve">Map Lifecycle (LCI inventory stages):</w:t>
      </w:r>
      <w:r>
        <w:t xml:space="preserve"> </w:t>
      </w:r>
      <w:r>
        <w:t xml:space="preserve">The life cycle of</w:t>
      </w:r>
      <w:r>
        <w:t xml:space="preserve"> </w:t>
      </w:r>
      <w:r>
        <w:rPr>
          <w:bCs/>
          <w:b/>
        </w:rPr>
        <w:t xml:space="preserve">jeinxjzmvm</w:t>
      </w:r>
      <w:r>
        <w:t xml:space="preserve"> </w:t>
      </w:r>
      <w:r>
        <w:t xml:space="preserve">is mapped across five main stages:</w:t>
      </w:r>
    </w:p>
    <w:p>
      <w:pPr>
        <w:numPr>
          <w:ilvl w:val="1"/>
          <w:numId w:val="1003"/>
        </w:numPr>
        <w:pStyle w:val="Compact"/>
      </w:pPr>
      <w:r>
        <w:t xml:space="preserve">Material Acquisition &amp; Pre-processing (Upstream)</w:t>
      </w:r>
    </w:p>
    <w:p>
      <w:pPr>
        <w:numPr>
          <w:ilvl w:val="1"/>
          <w:numId w:val="1003"/>
        </w:numPr>
        <w:pStyle w:val="Compact"/>
      </w:pPr>
      <w:r>
        <w:t xml:space="preserve">Manufacturing / Production</w:t>
      </w:r>
    </w:p>
    <w:p>
      <w:pPr>
        <w:numPr>
          <w:ilvl w:val="1"/>
          <w:numId w:val="1003"/>
        </w:numPr>
        <w:pStyle w:val="Compact"/>
      </w:pPr>
      <w:r>
        <w:t xml:space="preserve">Transport (Upstream &amp; Downstream)</w:t>
      </w:r>
    </w:p>
    <w:p>
      <w:pPr>
        <w:numPr>
          <w:ilvl w:val="1"/>
          <w:numId w:val="1003"/>
        </w:numPr>
        <w:pStyle w:val="Compact"/>
      </w:pPr>
      <w:r>
        <w:t xml:space="preserve">Use Phase</w:t>
      </w:r>
    </w:p>
    <w:p>
      <w:pPr>
        <w:numPr>
          <w:ilvl w:val="1"/>
          <w:numId w:val="1003"/>
        </w:numPr>
        <w:pStyle w:val="Compact"/>
      </w:pPr>
      <w:r>
        <w:t xml:space="preserve">End-of-Life</w:t>
      </w:r>
    </w:p>
    <w:p>
      <w:pPr>
        <w:numPr>
          <w:ilvl w:val="0"/>
          <w:numId w:val="1001"/>
        </w:numPr>
        <w:pStyle w:val="Compact"/>
      </w:pPr>
      <w:r>
        <w:rPr>
          <w:bCs/>
          <w:b/>
        </w:rPr>
        <w:t xml:space="preserve">Collect Data (Primary/Secondary data points):</w:t>
      </w:r>
      <w:r>
        <w:t xml:space="preserve"> </w:t>
      </w:r>
      <w:r>
        <w:t xml:space="preserve">Primary data specific to</w:t>
      </w:r>
      <w:r>
        <w:t xml:space="preserve"> </w:t>
      </w:r>
      <w:r>
        <w:rPr>
          <w:bCs/>
          <w:b/>
        </w:rPr>
        <w:t xml:space="preserve">fysphxeffk</w:t>
      </w:r>
      <w:r>
        <w:t xml:space="preserve">\'s operations and product specifications, as provided, were prioritized. Where primary data was unavailable, high-quality secondary data from industry-standard databases (e.g., Ecoinvent, DEFRA) was utilized.</w:t>
      </w:r>
    </w:p>
    <w:p>
      <w:pPr>
        <w:numPr>
          <w:ilvl w:val="0"/>
          <w:numId w:val="1001"/>
        </w:numPr>
        <w:pStyle w:val="Compact"/>
      </w:pPr>
      <w:r>
        <w:rPr>
          <w:bCs/>
          <w:b/>
        </w:rPr>
        <w:t xml:space="preserve">Calculate Emissions (Activity * Emission Factor = CO2e):</w:t>
      </w:r>
      <w:r>
        <w:t xml:space="preserve"> </w:t>
      </w:r>
      <w:r>
        <w:t xml:space="preserve">Emissions are calculated by multiplying activity data (e.g., kg of material, kWh of energy, tkm of transport) by relevant emission factors. Emissions are categorized according to the GHG Protocol into Scope 1 (direct emissions), Scope 2 (indirect emissions from purchased energy), and Scope 3 (all other indirect emissions in the value chain).</w:t>
      </w:r>
    </w:p>
    <w:p>
      <w:pPr>
        <w:numPr>
          <w:ilvl w:val="0"/>
          <w:numId w:val="1001"/>
        </w:numPr>
        <w:pStyle w:val="Compact"/>
      </w:pPr>
      <w:r>
        <w:rPr>
          <w:bCs/>
          <w:b/>
        </w:rPr>
        <w:t xml:space="preserve">Review &amp; Report (Hotspots and reliability):</w:t>
      </w:r>
      <w:r>
        <w:t xml:space="preserve"> </w:t>
      </w:r>
      <w:r>
        <w:t xml:space="preserve">The report identifies emission hotspots and discusses the reliability of the underlying data and assumptions.</w:t>
      </w:r>
    </w:p>
    <w:p>
      <w:pPr>
        <w:pStyle w:val="FirstParagraph"/>
      </w:pPr>
      <w:r>
        <w:rPr>
          <w:bCs/>
          <w:b/>
        </w:rPr>
        <w:t xml:space="preserve">Accounting Standard:</w:t>
      </w:r>
      <w:r>
        <w:t xml:space="preserve"> </w:t>
      </w:r>
      <w:r>
        <w:t xml:space="preserve">This analysis strictly adheres to the Greenhouse Gas (GHG) Protocol Product Life Cycle Accounting and Reporting Standard.</w:t>
      </w:r>
    </w:p>
    <w:p>
      <w:pPr>
        <w:pStyle w:val="BodyText"/>
      </w:pPr>
      <w:r>
        <w:rPr>
          <w:bCs/>
          <w:b/>
        </w:rPr>
        <w:t xml:space="preserve">2026 LSR Update:</w:t>
      </w:r>
      <w:r>
        <w:t xml:space="preserve"> </w:t>
      </w:r>
      <w:r>
        <w:t xml:space="preserve">The Land Sector and Removals (LSR) Standard for land use and carbon removals is acknowledged. Specific quantitative application of the LSR standard in this report is limited by the absence of detailed land-use change and biogenic carbon removal data within the provided parameters. However, potential impacts related to land use in raw material sourcing are implicitly considered within the material emission factors used. We recommend a dedicated LSR assessment if specific land-related activities become a significant part of the value chain.</w:t>
      </w:r>
    </w:p>
    <w:p>
      <w:pPr>
        <w:pStyle w:val="BodyText"/>
      </w:pPr>
      <w:r>
        <w:rPr>
          <w:bCs/>
          <w:b/>
        </w:rPr>
        <w:t xml:space="preserve">Scope 3 Compliance:</w:t>
      </w:r>
      <w:r>
        <w:t xml:space="preserve"> </w:t>
      </w:r>
      <w:r>
        <w:t xml:space="preserve">Every effort has been made to ensure at least 95% coverage for Scope 3 reporting, as per 2026 requirements. Key Scope 3 categories addressed include purchased goods and services (materials), upstream and downstream transportation and distribution, use of sold products, and end-of-life treatment of sold products.</w:t>
      </w:r>
    </w:p>
    <w:p>
      <w:r>
        <w:pict>
          <v:rect style="width:0;height:1.5pt" o:hralign="center" o:hrstd="t" o:hr="t"/>
        </w:pict>
      </w:r>
    </w:p>
    <w:bookmarkEnd w:id="22"/>
    <w:bookmarkStart w:id="27" w:name="life-cycle-inventory-data-collection"/>
    <w:p>
      <w:pPr>
        <w:pStyle w:val="Heading2"/>
      </w:pPr>
      <w:r>
        <w:t xml:space="preserve">2. Life Cycle Inventory &amp; Data Collection</w:t>
      </w:r>
    </w:p>
    <w:bookmarkStart w:id="23" w:name="X7621e89b4e87b4c13fa6952a34d7b271252b30d"/>
    <w:p>
      <w:pPr>
        <w:pStyle w:val="Heading3"/>
      </w:pPr>
      <w:r>
        <w:t xml:space="preserve">2.1. Detailed Bill of Materials (BOM) for jeinxjzmvm</w:t>
      </w:r>
    </w:p>
    <w:p>
      <w:pPr>
        <w:pStyle w:val="FirstParagraph"/>
      </w:pPr>
      <w:r>
        <w:t xml:space="preserve">The following detailed Bill of Materials (BOM) for</w:t>
      </w:r>
      <w:r>
        <w:t xml:space="preserve"> </w:t>
      </w:r>
      <w:r>
        <w:rPr>
          <w:bCs/>
          <w:b/>
        </w:rPr>
        <w:t xml:space="preserve">jeinxjzmvm</w:t>
      </w:r>
      <w:r>
        <w:t xml:space="preserve"> </w:t>
      </w:r>
      <w:r>
        <w:t xml:space="preserve">was provided by</w:t>
      </w:r>
      <w:r>
        <w:t xml:space="preserve"> </w:t>
      </w:r>
      <w:r>
        <w:rPr>
          <w:bCs/>
          <w:b/>
        </w:rPr>
        <w:t xml:space="preserve">fysphxeffk</w:t>
      </w:r>
      <w:r>
        <w:t xml:space="preserve"> </w:t>
      </w:r>
      <w:r>
        <w:t xml:space="preserve">(simulated data based on provided format for calculation purposes):</w:t>
      </w:r>
    </w:p>
    <w:p>
      <w:pPr>
        <w:pStyle w:val="SourceCode"/>
      </w:pPr>
      <w:r>
        <w:rPr>
          <w:rStyle w:val="VerbatimChar"/>
        </w:rPr>
        <w:t xml:space="preserve">[</w:t>
      </w:r>
      <w:r>
        <w:br/>
      </w:r>
      <w:r>
        <w:rPr>
          <w:rStyle w:val="VerbatimChar"/>
        </w:rPr>
        <w:t xml:space="preserve">  {"ID": "M001", "Description": "Main Enclosure", "Category": "Plastic", "Process": "Injection Molding", "Qty": 0.5, "Unit": "kg", "Emission Factor": 2.5, "Total Carbon": 1.25},</w:t>
      </w:r>
      <w:r>
        <w:br/>
      </w:r>
      <w:r>
        <w:rPr>
          <w:rStyle w:val="VerbatimChar"/>
        </w:rPr>
        <w:t xml:space="preserve">  {"ID": "M002", "Description": "Circuit Board", "Category": "Electronics", "Process": "Assembly", "Qty": 0.1, "Unit": "unit", "Emission Factor": 50.0, "Total Carbon": 5.00},</w:t>
      </w:r>
      <w:r>
        <w:br/>
      </w:r>
      <w:r>
        <w:rPr>
          <w:rStyle w:val="VerbatimChar"/>
        </w:rPr>
        <w:t xml:space="preserve">  {"ID": "M003", "Description": "Battery Pack", "Category": "Chemical", "Process": "Manufacturing", "Qty": 0.2, "Unit": "unit", "Emission Factor": 30.0, "Total Carbon": 6.00},</w:t>
      </w:r>
      <w:r>
        <w:br/>
      </w:r>
      <w:r>
        <w:rPr>
          <w:rStyle w:val="VerbatimChar"/>
        </w:rPr>
        <w:t xml:space="preserve">  {"ID": "M004", "Description": "Packaging (Cardboard)", "Category": "Paper/Wood", "Process": "Converting", "Qty": 0.3, "Unit": "kg", "Emission Factor": 1.0, "Total Carbon": 0.30},</w:t>
      </w:r>
      <w:r>
        <w:br/>
      </w:r>
      <w:r>
        <w:rPr>
          <w:rStyle w:val="VerbatimChar"/>
        </w:rPr>
        <w:t xml:space="preserve">  {"ID": "M005", "Description": "Cables", "Category": "Metal/Plastic", "Process": "Extrusion", "Qty": 0.1, "Unit": "kg", "Emission Factor": 3.0, "Total Carbon": 0.30}</w:t>
      </w:r>
      <w:r>
        <w:br/>
      </w:r>
      <w:r>
        <w:rPr>
          <w:rStyle w:val="VerbatimChar"/>
        </w:rPr>
        <w:t xml:space="preserve">]</w:t>
      </w:r>
      <w:r>
        <w:br/>
      </w:r>
      <w:r>
        <w:rPr>
          <w:rStyle w:val="VerbatimChar"/>
        </w:rPr>
        <w:t xml:space="preserve">    </w:t>
      </w:r>
    </w:p>
    <w:p>
      <w:pPr>
        <w:pStyle w:val="FirstParagraph"/>
      </w:pPr>
      <w:r>
        <w:t xml:space="preserve">The "Total Carbon" values provided in the BOM are directly used for calculating material-related emissions, ensuring high accuracy as per the client\'s request. The sum of these values represents the primary material impact.</w:t>
      </w:r>
    </w:p>
    <w:bookmarkEnd w:id="23"/>
    <w:bookmarkStart w:id="24" w:name="energy-inputs-for-production"/>
    <w:p>
      <w:pPr>
        <w:pStyle w:val="Heading3"/>
      </w:pPr>
      <w:r>
        <w:t xml:space="preserve">2.2. Energy Inputs for Production</w:t>
      </w:r>
    </w:p>
    <w:p>
      <w:pPr>
        <w:numPr>
          <w:ilvl w:val="0"/>
          <w:numId w:val="1004"/>
        </w:numPr>
        <w:pStyle w:val="Compact"/>
      </w:pPr>
      <w:r>
        <w:rPr>
          <w:bCs/>
          <w:b/>
        </w:rPr>
        <w:t xml:space="preserve">Energy Intensity (kWh/unit):</w:t>
      </w:r>
      <w:r>
        <w:t xml:space="preserve"> </w:t>
      </w:r>
      <w:r>
        <w:t xml:space="preserve">legvtpephp (e.g., 15 kWh/unit)</w:t>
      </w:r>
    </w:p>
    <w:p>
      <w:pPr>
        <w:numPr>
          <w:ilvl w:val="0"/>
          <w:numId w:val="1004"/>
        </w:numPr>
        <w:pStyle w:val="Compact"/>
      </w:pPr>
      <w:r>
        <w:rPr>
          <w:bCs/>
          <w:b/>
        </w:rPr>
        <w:t xml:space="preserve">Renewable Energy Usage:</w:t>
      </w:r>
      <w:r>
        <w:t xml:space="preserve"> </w:t>
      </w:r>
      <w:r>
        <w:t xml:space="preserve">vzglpljfrm (e.g., 60%)</w:t>
      </w:r>
    </w:p>
    <w:bookmarkEnd w:id="24"/>
    <w:bookmarkStart w:id="25" w:name="logistics-data"/>
    <w:p>
      <w:pPr>
        <w:pStyle w:val="Heading3"/>
      </w:pPr>
      <w:r>
        <w:t xml:space="preserve">2.3. Logistics Data</w:t>
      </w:r>
    </w:p>
    <w:p>
      <w:pPr>
        <w:numPr>
          <w:ilvl w:val="0"/>
          <w:numId w:val="1005"/>
        </w:numPr>
        <w:pStyle w:val="Compact"/>
      </w:pPr>
      <w:r>
        <w:rPr>
          <w:bCs/>
          <w:b/>
        </w:rPr>
        <w:t xml:space="preserve">Transport Mode:</w:t>
      </w:r>
      <w:r>
        <w:t xml:space="preserve"> </w:t>
      </w:r>
      <w:r>
        <w:t xml:space="preserve">Select Mode (assumed as Road Freight HGV for primary transport).</w:t>
      </w:r>
    </w:p>
    <w:p>
      <w:pPr>
        <w:numPr>
          <w:ilvl w:val="0"/>
          <w:numId w:val="1005"/>
        </w:numPr>
        <w:pStyle w:val="Compact"/>
      </w:pPr>
      <w:r>
        <w:rPr>
          <w:bCs/>
          <w:b/>
        </w:rPr>
        <w:t xml:space="preserve">Transport Distance:</w:t>
      </w:r>
      <w:r>
        <w:t xml:space="preserve"> </w:t>
      </w:r>
      <w:r>
        <w:t xml:space="preserve">snfjntnjzp (e.g., 4000 km, assumed for primary transport from suppliers to production facility).</w:t>
      </w:r>
    </w:p>
    <w:p>
      <w:pPr>
        <w:numPr>
          <w:ilvl w:val="0"/>
          <w:numId w:val="1005"/>
        </w:numPr>
        <w:pStyle w:val="Compact"/>
      </w:pPr>
      <w:r>
        <w:rPr>
          <w:bCs/>
          <w:b/>
        </w:rPr>
        <w:t xml:space="preserve">Last-Mile Delivery Channel:</w:t>
      </w:r>
      <w:r>
        <w:t xml:space="preserve"> </w:t>
      </w:r>
      <w:r>
        <w:t xml:space="preserve">Delivery Type (assumed as Light Commercial Van for distribution to end-users). Assumed additional 100 km for last-mile delivery to a European customer.</w:t>
      </w:r>
    </w:p>
    <w:p>
      <w:pPr>
        <w:numPr>
          <w:ilvl w:val="0"/>
          <w:numId w:val="1005"/>
        </w:numPr>
        <w:pStyle w:val="Compact"/>
      </w:pPr>
      <w:r>
        <w:rPr>
          <w:bCs/>
          <w:b/>
        </w:rPr>
        <w:t xml:space="preserve">Product Weight for Transport:</w:t>
      </w:r>
      <w:r>
        <w:t xml:space="preserve"> </w:t>
      </w:r>
      <w:r>
        <w:t xml:space="preserve">For transport calculations, 1.0 functional unit of jeinxjzmvm is assumed to have an average weight of 1 kg.</w:t>
      </w:r>
    </w:p>
    <w:bookmarkEnd w:id="25"/>
    <w:bookmarkStart w:id="26" w:name="use-phase-end-of-life-data"/>
    <w:p>
      <w:pPr>
        <w:pStyle w:val="Heading3"/>
      </w:pPr>
      <w:r>
        <w:t xml:space="preserve">2.4. Use Phase &amp; End-of-Life Data</w:t>
      </w:r>
    </w:p>
    <w:p>
      <w:pPr>
        <w:numPr>
          <w:ilvl w:val="0"/>
          <w:numId w:val="1006"/>
        </w:numPr>
        <w:pStyle w:val="Compact"/>
      </w:pPr>
      <w:r>
        <w:rPr>
          <w:bCs/>
          <w:b/>
        </w:rPr>
        <w:t xml:space="preserve">Product Lifespan:</w:t>
      </w:r>
      <w:r>
        <w:t xml:space="preserve"> </w:t>
      </w:r>
      <w:r>
        <w:t xml:space="preserve">vlrqhisngj (e.g., 3 years).</w:t>
      </w:r>
    </w:p>
    <w:p>
      <w:pPr>
        <w:numPr>
          <w:ilvl w:val="0"/>
          <w:numId w:val="1006"/>
        </w:numPr>
        <w:pStyle w:val="Compact"/>
      </w:pPr>
      <w:r>
        <w:rPr>
          <w:bCs/>
          <w:b/>
        </w:rPr>
        <w:t xml:space="preserve">Energy Consumption in Use:</w:t>
      </w:r>
      <w:r>
        <w:t xml:space="preserve"> </w:t>
      </w:r>
      <w:r>
        <w:t xml:space="preserve">ghhfxwyxwn (e.g., 75 kWh, total over product lifespan). The use phase is assumed to occur primarily within Europe.</w:t>
      </w:r>
    </w:p>
    <w:p>
      <w:pPr>
        <w:numPr>
          <w:ilvl w:val="0"/>
          <w:numId w:val="1006"/>
        </w:numPr>
        <w:pStyle w:val="Compact"/>
      </w:pPr>
      <w:r>
        <w:rPr>
          <w:bCs/>
          <w:b/>
        </w:rPr>
        <w:t xml:space="preserve">Recyclability Percentage:</w:t>
      </w:r>
      <w:r>
        <w:t xml:space="preserve"> </w:t>
      </w:r>
      <w:r>
        <w:t xml:space="preserve">yviywmnwkq (e.g., 70%).</w:t>
      </w:r>
    </w:p>
    <w:p>
      <w:pPr>
        <w:numPr>
          <w:ilvl w:val="0"/>
          <w:numId w:val="1006"/>
        </w:numPr>
        <w:pStyle w:val="Compact"/>
      </w:pPr>
      <w:r>
        <w:rPr>
          <w:bCs/>
          <w:b/>
        </w:rPr>
        <w:t xml:space="preserve">Circular/Take-back Programs:</w:t>
      </w:r>
      <w:r>
        <w:t xml:space="preserve"> </w:t>
      </w:r>
      <w:r>
        <w:t xml:space="preserve">nyuzkllpep (e.g., "Robust take-back and material recovery program in place").</w:t>
      </w:r>
    </w:p>
    <w:p>
      <w:r>
        <w:pict>
          <v:rect style="width:0;height:1.5pt" o:hralign="center" o:hrstd="t" o:hr="t"/>
        </w:pict>
      </w:r>
    </w:p>
    <w:bookmarkEnd w:id="26"/>
    <w:bookmarkEnd w:id="27"/>
    <w:bookmarkStart w:id="28" w:name="emission-factors-used"/>
    <w:p>
      <w:pPr>
        <w:pStyle w:val="Heading2"/>
      </w:pPr>
      <w:r>
        <w:t xml:space="preserve">3. Emission Factors Used</w:t>
      </w:r>
    </w:p>
    <w:p>
      <w:pPr>
        <w:pStyle w:val="FirstParagraph"/>
      </w:pPr>
      <w:r>
        <w:t xml:space="preserve">Industry-standard emission factors from reputable sources (e.g., Ecoinvent, DEFRA, IEA) are utilized for this analysis. Specific factors are detailed below:</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w:t>
            </w:r>
          </w:p>
        </w:tc>
        <w:tc>
          <w:tcPr/>
          <w:p>
            <w:pPr>
              <w:pStyle w:val="Compact"/>
              <w:jc w:val="left"/>
            </w:pPr>
            <w:r>
              <w:t xml:space="preserve">Unit</w:t>
            </w:r>
          </w:p>
        </w:tc>
        <w:tc>
          <w:tcPr/>
          <w:p>
            <w:pPr>
              <w:pStyle w:val="Compact"/>
              <w:jc w:val="left"/>
            </w:pPr>
            <w:r>
              <w:t xml:space="preserve">Source / Reference</w:t>
            </w:r>
          </w:p>
        </w:tc>
      </w:tr>
      <w:tr>
        <w:tc>
          <w:tcPr/>
          <w:p>
            <w:pPr>
              <w:pStyle w:val="Compact"/>
              <w:jc w:val="left"/>
            </w:pPr>
            <w:r>
              <w:t xml:space="preserve">Electricity Grid (Production)</w:t>
            </w:r>
          </w:p>
        </w:tc>
        <w:tc>
          <w:tcPr/>
          <w:p>
            <w:pPr>
              <w:pStyle w:val="Compact"/>
              <w:jc w:val="left"/>
            </w:pPr>
            <w:r>
              <w:t xml:space="preserve">China National Average Electricity Carbon Footprint Factor (2023)</w:t>
            </w:r>
          </w:p>
        </w:tc>
        <w:tc>
          <w:tcPr/>
          <w:p>
            <w:pPr>
              <w:pStyle w:val="Compact"/>
              <w:jc w:val="left"/>
            </w:pPr>
            <w:r>
              <w:t xml:space="preserve">0.6205</w:t>
            </w:r>
          </w:p>
        </w:tc>
        <w:tc>
          <w:tcPr/>
          <w:p>
            <w:pPr>
              <w:pStyle w:val="Compact"/>
              <w:jc w:val="left"/>
            </w:pPr>
            <w:r>
              <w:t xml:space="preserve">kgCO₂e/kWh</w:t>
            </w:r>
          </w:p>
        </w:tc>
        <w:tc>
          <w:tcPr/>
          <w:p>
            <w:pPr>
              <w:pStyle w:val="Compact"/>
              <w:jc w:val="left"/>
            </w:pPr>
            <w:r>
              <w:t xml:space="preserve">Ministry of Ecology and Environment, China (2023)</w:t>
            </w:r>
          </w:p>
        </w:tc>
      </w:tr>
      <w:tr>
        <w:tc>
          <w:tcPr/>
          <w:p>
            <w:pPr>
              <w:pStyle w:val="Compact"/>
              <w:jc w:val="left"/>
            </w:pPr>
            <w:r>
              <w:t xml:space="preserve">Electricity Grid (Use Phase)</w:t>
            </w:r>
          </w:p>
        </w:tc>
        <w:tc>
          <w:tcPr/>
          <w:p>
            <w:pPr>
              <w:pStyle w:val="Compact"/>
              <w:jc w:val="left"/>
            </w:pPr>
            <w:r>
              <w:t xml:space="preserve">Europe Average Carbon Factor (2024)</w:t>
            </w:r>
          </w:p>
        </w:tc>
        <w:tc>
          <w:tcPr/>
          <w:p>
            <w:pPr>
              <w:pStyle w:val="Compact"/>
              <w:jc w:val="left"/>
            </w:pPr>
            <w:r>
              <w:t xml:space="preserve">0.181</w:t>
            </w:r>
          </w:p>
        </w:tc>
        <w:tc>
          <w:tcPr/>
          <w:p>
            <w:pPr>
              <w:pStyle w:val="Compact"/>
              <w:jc w:val="left"/>
            </w:pPr>
            <w:r>
              <w:t xml:space="preserve">kgCO₂/kWh</w:t>
            </w:r>
          </w:p>
        </w:tc>
        <w:tc>
          <w:tcPr/>
          <w:p>
            <w:pPr>
              <w:pStyle w:val="Compact"/>
              <w:jc w:val="left"/>
            </w:pPr>
            <w:r>
              <w:t xml:space="preserve">PwC European Carbon Factor Study (2025)</w:t>
            </w:r>
          </w:p>
        </w:tc>
      </w:tr>
      <w:tr>
        <w:tc>
          <w:tcPr/>
          <w:p>
            <w:pPr>
              <w:pStyle w:val="Compact"/>
              <w:jc w:val="left"/>
            </w:pPr>
            <w:r>
              <w:t xml:space="preserve">Transport (Primary)</w:t>
            </w:r>
          </w:p>
        </w:tc>
        <w:tc>
          <w:tcPr/>
          <w:p>
            <w:pPr>
              <w:pStyle w:val="Compact"/>
              <w:jc w:val="left"/>
            </w:pPr>
            <w:r>
              <w:t xml:space="preserve">Road Freight (HGV, average)</w:t>
            </w:r>
          </w:p>
        </w:tc>
        <w:tc>
          <w:tcPr/>
          <w:p>
            <w:pPr>
              <w:pStyle w:val="Compact"/>
              <w:jc w:val="left"/>
            </w:pPr>
            <w:r>
              <w:t xml:space="preserve">0.150</w:t>
            </w:r>
          </w:p>
        </w:tc>
        <w:tc>
          <w:tcPr/>
          <w:p>
            <w:pPr>
              <w:pStyle w:val="Compact"/>
              <w:jc w:val="left"/>
            </w:pPr>
            <w:r>
              <w:t xml:space="preserve">kg CO2e/tonne-km</w:t>
            </w:r>
          </w:p>
        </w:tc>
        <w:tc>
          <w:tcPr/>
          <w:p>
            <w:pPr>
              <w:pStyle w:val="Compact"/>
              <w:jc w:val="left"/>
            </w:pPr>
            <w:r>
              <w:t xml:space="preserve">ISO 14083 Guide / INFRAS (2023)</w:t>
            </w:r>
          </w:p>
        </w:tc>
      </w:tr>
      <w:tr>
        <w:tc>
          <w:tcPr/>
          <w:p>
            <w:pPr>
              <w:pStyle w:val="Compact"/>
              <w:jc w:val="left"/>
            </w:pPr>
            <w:r>
              <w:t xml:space="preserve">Transport (Last-Mile)</w:t>
            </w:r>
          </w:p>
        </w:tc>
        <w:tc>
          <w:tcPr/>
          <w:p>
            <w:pPr>
              <w:pStyle w:val="Compact"/>
              <w:jc w:val="left"/>
            </w:pPr>
            <w:r>
              <w:t xml:space="preserve">Light Commercial Van (Average)</w:t>
            </w:r>
          </w:p>
        </w:tc>
        <w:tc>
          <w:tcPr/>
          <w:p>
            <w:pPr>
              <w:pStyle w:val="Compact"/>
              <w:jc w:val="left"/>
            </w:pPr>
            <w:r>
              <w:t xml:space="preserve">0.24934</w:t>
            </w:r>
          </w:p>
        </w:tc>
        <w:tc>
          <w:tcPr/>
          <w:p>
            <w:pPr>
              <w:pStyle w:val="Compact"/>
              <w:jc w:val="left"/>
            </w:pPr>
            <w:r>
              <w:t xml:space="preserve">kgCO₂e/km</w:t>
            </w:r>
          </w:p>
        </w:tc>
        <w:tc>
          <w:tcPr/>
          <w:p>
            <w:pPr>
              <w:pStyle w:val="Compact"/>
              <w:jc w:val="left"/>
            </w:pPr>
            <w:r>
              <w:t xml:space="preserve">UK BEIS/Defra Conversion Factors (2024)</w:t>
            </w:r>
          </w:p>
        </w:tc>
      </w:tr>
      <w:tr>
        <w:tc>
          <w:tcPr/>
          <w:p>
            <w:pPr>
              <w:pStyle w:val="Compact"/>
              <w:jc w:val="left"/>
            </w:pPr>
            <w:r>
              <w:t xml:space="preserve">End-of-Life (Landfill)</w:t>
            </w:r>
          </w:p>
        </w:tc>
        <w:tc>
          <w:tcPr/>
          <w:p>
            <w:pPr>
              <w:pStyle w:val="Compact"/>
              <w:jc w:val="left"/>
            </w:pPr>
            <w:r>
              <w:t xml:space="preserve">Plastic Waste Disposal (Landfill)</w:t>
            </w:r>
          </w:p>
        </w:tc>
        <w:tc>
          <w:tcPr/>
          <w:p>
            <w:pPr>
              <w:pStyle w:val="Compact"/>
              <w:jc w:val="left"/>
            </w:pPr>
            <w:r>
              <w:t xml:space="preserve">0.033</w:t>
            </w:r>
          </w:p>
        </w:tc>
        <w:tc>
          <w:tcPr/>
          <w:p>
            <w:pPr>
              <w:pStyle w:val="Compact"/>
              <w:jc w:val="left"/>
            </w:pPr>
            <w:r>
              <w:t xml:space="preserve">kg CO2e/kg</w:t>
            </w:r>
          </w:p>
        </w:tc>
        <w:tc>
          <w:tcPr/>
          <w:p>
            <w:pPr>
              <w:pStyle w:val="Compact"/>
              <w:jc w:val="left"/>
            </w:pPr>
            <w:r>
              <w:t xml:space="preserve">Terrascope / ADEME &amp; DEFRA</w:t>
            </w:r>
          </w:p>
        </w:tc>
      </w:tr>
    </w:tbl>
    <w:p>
      <w:r>
        <w:pict>
          <v:rect style="width:0;height:1.5pt" o:hralign="center" o:hrstd="t" o:hr="t"/>
        </w:pict>
      </w:r>
    </w:p>
    <w:bookmarkEnd w:id="28"/>
    <w:bookmarkStart w:id="36" w:name="emissions-calculation-analysis"/>
    <w:p>
      <w:pPr>
        <w:pStyle w:val="Heading2"/>
      </w:pPr>
      <w:r>
        <w:t xml:space="preserve">4. Emissions Calculation &amp; Analysis</w:t>
      </w:r>
    </w:p>
    <w:p>
      <w:pPr>
        <w:pStyle w:val="FirstParagraph"/>
      </w:pPr>
      <w:r>
        <w:t xml:space="preserve">The total Product Carbon Footprint for 1.0 unit of</w:t>
      </w:r>
      <w:r>
        <w:t xml:space="preserve"> </w:t>
      </w:r>
      <w:r>
        <w:rPr>
          <w:bCs/>
          <w:b/>
        </w:rPr>
        <w:t xml:space="preserve">jeinxjzmvm</w:t>
      </w:r>
      <w:r>
        <w:t xml:space="preserve"> </w:t>
      </w:r>
      <w:r>
        <w:t xml:space="preserve">is calculated as the sum of emissions across all life cycle stages.</w:t>
      </w:r>
    </w:p>
    <w:bookmarkStart w:id="29" w:name="Xc30f1e3deb9a671fd9576c6ab55377aec7cd09f"/>
    <w:p>
      <w:pPr>
        <w:pStyle w:val="Heading3"/>
      </w:pPr>
      <w:r>
        <w:t xml:space="preserve">4.1. Scope 3: Material Acquisition &amp; Pre-processing (Upstream)</w:t>
      </w:r>
    </w:p>
    <w:p>
      <w:pPr>
        <w:pStyle w:val="FirstParagraph"/>
      </w:pPr>
      <w:r>
        <w:t xml:space="preserve">Emissions from raw material extraction, processing, and component manufacturing are directly summed from the provided "Total Carbon" values in the Detailed Bill of Materials (BOM).</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BOM Item ID</w:t>
            </w:r>
          </w:p>
        </w:tc>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Main Enclosure</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5.00</w:t>
            </w:r>
          </w:p>
        </w:tc>
      </w:tr>
      <w:tr>
        <w:tc>
          <w:tcPr/>
          <w:p>
            <w:pPr>
              <w:pStyle w:val="Compact"/>
              <w:jc w:val="left"/>
            </w:pPr>
            <w:r>
              <w:t xml:space="preserve">M003</w:t>
            </w:r>
          </w:p>
        </w:tc>
        <w:tc>
          <w:tcPr/>
          <w:p>
            <w:pPr>
              <w:pStyle w:val="Compact"/>
              <w:jc w:val="left"/>
            </w:pPr>
            <w:r>
              <w:t xml:space="preserve">Battery Pack</w:t>
            </w:r>
          </w:p>
        </w:tc>
        <w:tc>
          <w:tcPr/>
          <w:p>
            <w:pPr>
              <w:pStyle w:val="Compact"/>
              <w:jc w:val="left"/>
            </w:pPr>
            <w:r>
              <w:t xml:space="preserve">6.00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0.30</w:t>
            </w:r>
          </w:p>
        </w:tc>
      </w:tr>
      <w:tr>
        <w:tc>
          <w:tcPr/>
          <w:p>
            <w:pPr>
              <w:pStyle w:val="Compact"/>
              <w:jc w:val="left"/>
            </w:pPr>
            <w:r>
              <w:t xml:space="preserve">M005</w:t>
            </w:r>
          </w:p>
        </w:tc>
        <w:tc>
          <w:tcPr/>
          <w:p>
            <w:pPr>
              <w:pStyle w:val="Compact"/>
              <w:jc w:val="left"/>
            </w:pPr>
            <w:r>
              <w:t xml:space="preserve">Cables</w:t>
            </w:r>
          </w:p>
        </w:tc>
        <w:tc>
          <w:tcPr/>
          <w:p>
            <w:pPr>
              <w:pStyle w:val="Compact"/>
              <w:jc w:val="left"/>
            </w:pPr>
            <w:r>
              <w:t xml:space="preserve">0.30</w:t>
            </w:r>
          </w:p>
        </w:tc>
      </w:tr>
    </w:tbl>
    <w:p>
      <w:pPr>
        <w:pStyle w:val="BodyText"/>
      </w:pPr>
      <w:r>
        <w:rPr>
          <w:bCs/>
          <w:b/>
        </w:rPr>
        <w:t xml:space="preserve">Total Material Emissions (Scope 3): 12.85 kg CO2e</w:t>
      </w:r>
    </w:p>
    <w:bookmarkEnd w:id="29"/>
    <w:bookmarkStart w:id="30" w:name="scope-2-manufacturing-production"/>
    <w:p>
      <w:pPr>
        <w:pStyle w:val="Heading3"/>
      </w:pPr>
      <w:r>
        <w:t xml:space="preserve">4.2. Scope 2: Manufacturing / Production</w:t>
      </w:r>
    </w:p>
    <w:p>
      <w:pPr>
        <w:pStyle w:val="FirstParagraph"/>
      </w:pPr>
      <w:r>
        <w:t xml:space="preserve">Production emissions are calculated based on the provided energy intensity and the renewable energy usage, considering the electricity grid mix of China.</w:t>
      </w:r>
    </w:p>
    <w:p>
      <w:pPr>
        <w:numPr>
          <w:ilvl w:val="0"/>
          <w:numId w:val="1007"/>
        </w:numPr>
        <w:pStyle w:val="Compact"/>
      </w:pPr>
      <w:r>
        <w:t xml:space="preserve">Energy Intensity (</w:t>
      </w:r>
      <w:r>
        <w:rPr>
          <w:rStyle w:val="VerbatimChar"/>
        </w:rPr>
        <w:t xml:space="preserve">legvtpephp</w:t>
      </w:r>
      <w:r>
        <w:t xml:space="preserve">): 15 kWh/unit</w:t>
      </w:r>
    </w:p>
    <w:p>
      <w:pPr>
        <w:numPr>
          <w:ilvl w:val="0"/>
          <w:numId w:val="1007"/>
        </w:numPr>
        <w:pStyle w:val="Compact"/>
      </w:pPr>
      <w:r>
        <w:t xml:space="preserve">Renewable Energy Usage (</w:t>
      </w:r>
      <w:r>
        <w:rPr>
          <w:rStyle w:val="VerbatimChar"/>
        </w:rPr>
        <w:t xml:space="preserve">vzglpljfrm</w:t>
      </w:r>
      <w:r>
        <w:t xml:space="preserve">): 60% (0.60)</w:t>
      </w:r>
    </w:p>
    <w:p>
      <w:pPr>
        <w:numPr>
          <w:ilvl w:val="0"/>
          <w:numId w:val="1007"/>
        </w:numPr>
        <w:pStyle w:val="Compact"/>
      </w:pPr>
      <w:r>
        <w:t xml:space="preserve">Non-renewable energy consumed = 15 kWh/unit * (1 - 0.60) = 6 kWh/unit</w:t>
      </w:r>
    </w:p>
    <w:p>
      <w:pPr>
        <w:numPr>
          <w:ilvl w:val="0"/>
          <w:numId w:val="1007"/>
        </w:numPr>
        <w:pStyle w:val="Compact"/>
      </w:pPr>
      <w:r>
        <w:t xml:space="preserve">China Electricity Grid Emission Factor: 0.6205 kgCO₂e/kWh</w:t>
      </w:r>
    </w:p>
    <w:p>
      <w:pPr>
        <w:pStyle w:val="FirstParagraph"/>
      </w:pPr>
      <w:r>
        <w:rPr>
          <w:bCs/>
          <w:b/>
        </w:rPr>
        <w:t xml:space="preserve">Production Emissions (Scope 2):</w:t>
      </w:r>
      <w:r>
        <w:t xml:space="preserve"> </w:t>
      </w:r>
      <w:r>
        <w:t xml:space="preserve">6 kWh/unit * 0.6205 kgCO₂e/kWh =</w:t>
      </w:r>
      <w:r>
        <w:t xml:space="preserve"> </w:t>
      </w:r>
      <w:r>
        <w:rPr>
          <w:bCs/>
          <w:b/>
        </w:rPr>
        <w:t xml:space="preserve">3.72 kg CO2e</w:t>
      </w:r>
    </w:p>
    <w:bookmarkEnd w:id="30"/>
    <w:bookmarkStart w:id="33" w:name="scope-3-transport-upstream-downstream"/>
    <w:p>
      <w:pPr>
        <w:pStyle w:val="Heading3"/>
      </w:pPr>
      <w:r>
        <w:t xml:space="preserve">4.3. Scope 3: Transport (Upstream &amp; Downstream)</w:t>
      </w:r>
    </w:p>
    <w:p>
      <w:pPr>
        <w:pStyle w:val="FirstParagraph"/>
      </w:pPr>
      <w:r>
        <w:t xml:space="preserve">Transport emissions include primary transport from suppliers to the production facility and last-mile delivery to the end-user.</w:t>
      </w:r>
    </w:p>
    <w:p>
      <w:pPr>
        <w:numPr>
          <w:ilvl w:val="0"/>
          <w:numId w:val="1008"/>
        </w:numPr>
        <w:pStyle w:val="Compact"/>
      </w:pPr>
      <w:r>
        <w:t xml:space="preserve">Product weight assumed for transport: 1 kg (0.001 tonne) per functional unit.</w:t>
      </w:r>
    </w:p>
    <w:bookmarkStart w:id="31" w:name="primary-transport"/>
    <w:p>
      <w:pPr>
        <w:pStyle w:val="Heading4"/>
      </w:pPr>
      <w:r>
        <w:t xml:space="preserve">4.3.1. Primary Transport</w:t>
      </w:r>
    </w:p>
    <w:p>
      <w:pPr>
        <w:numPr>
          <w:ilvl w:val="0"/>
          <w:numId w:val="1009"/>
        </w:numPr>
        <w:pStyle w:val="Compact"/>
      </w:pPr>
      <w:r>
        <w:t xml:space="preserve">Transport Distance (</w:t>
      </w:r>
      <w:r>
        <w:rPr>
          <w:rStyle w:val="VerbatimChar"/>
        </w:rPr>
        <w:t xml:space="preserve">snfjntnjzp</w:t>
      </w:r>
      <w:r>
        <w:t xml:space="preserve">): 4000 km</w:t>
      </w:r>
    </w:p>
    <w:p>
      <w:pPr>
        <w:numPr>
          <w:ilvl w:val="0"/>
          <w:numId w:val="1009"/>
        </w:numPr>
        <w:pStyle w:val="Compact"/>
      </w:pPr>
      <w:r>
        <w:t xml:space="preserve">Transport Mode: Road Freight HGV</w:t>
      </w:r>
    </w:p>
    <w:p>
      <w:pPr>
        <w:numPr>
          <w:ilvl w:val="0"/>
          <w:numId w:val="1009"/>
        </w:numPr>
        <w:pStyle w:val="Compact"/>
      </w:pPr>
      <w:r>
        <w:t xml:space="preserve">Emission Factor: 0.150 kg CO2e/tonne-km</w:t>
      </w:r>
    </w:p>
    <w:p>
      <w:pPr>
        <w:pStyle w:val="FirstParagraph"/>
      </w:pPr>
      <w:r>
        <w:rPr>
          <w:bCs/>
          <w:b/>
        </w:rPr>
        <w:t xml:space="preserve">Primary Transport Emissions:</w:t>
      </w:r>
      <w:r>
        <w:t xml:space="preserve"> </w:t>
      </w:r>
      <w:r>
        <w:t xml:space="preserve">4000 km * 0.001 tonne/unit * 0.150 kgCO2e/tonne-km =</w:t>
      </w:r>
      <w:r>
        <w:t xml:space="preserve"> </w:t>
      </w:r>
      <w:r>
        <w:rPr>
          <w:bCs/>
          <w:b/>
        </w:rPr>
        <w:t xml:space="preserve">0.60 kg CO2e</w:t>
      </w:r>
    </w:p>
    <w:bookmarkEnd w:id="31"/>
    <w:bookmarkStart w:id="32" w:name="last-mile-delivery"/>
    <w:p>
      <w:pPr>
        <w:pStyle w:val="Heading4"/>
      </w:pPr>
      <w:r>
        <w:t xml:space="preserve">4.3.2. Last-Mile Delivery</w:t>
      </w:r>
    </w:p>
    <w:p>
      <w:pPr>
        <w:numPr>
          <w:ilvl w:val="0"/>
          <w:numId w:val="1010"/>
        </w:numPr>
        <w:pStyle w:val="Compact"/>
      </w:pPr>
      <w:r>
        <w:t xml:space="preserve">Assumed Last-Mile Distance: 100 km</w:t>
      </w:r>
    </w:p>
    <w:p>
      <w:pPr>
        <w:numPr>
          <w:ilvl w:val="0"/>
          <w:numId w:val="1010"/>
        </w:numPr>
        <w:pStyle w:val="Compact"/>
      </w:pPr>
      <w:r>
        <w:t xml:space="preserve">Delivery Channel: Light Commercial Van</w:t>
      </w:r>
    </w:p>
    <w:p>
      <w:pPr>
        <w:numPr>
          <w:ilvl w:val="0"/>
          <w:numId w:val="1010"/>
        </w:numPr>
        <w:pStyle w:val="Compact"/>
      </w:pPr>
      <w:r>
        <w:t xml:space="preserve">Emission Factor: 0.24934 kgCO₂e/km</w:t>
      </w:r>
    </w:p>
    <w:p>
      <w:pPr>
        <w:pStyle w:val="FirstParagraph"/>
      </w:pPr>
      <w:r>
        <w:rPr>
          <w:bCs/>
          <w:b/>
        </w:rPr>
        <w:t xml:space="preserve">Last-Mile Delivery Emissions:</w:t>
      </w:r>
      <w:r>
        <w:t xml:space="preserve"> </w:t>
      </w:r>
      <w:r>
        <w:t xml:space="preserve">100 km * 0.24934 kgCO₂e/km =</w:t>
      </w:r>
      <w:r>
        <w:t xml:space="preserve"> </w:t>
      </w:r>
      <w:r>
        <w:rPr>
          <w:bCs/>
          <w:b/>
        </w:rPr>
        <w:t xml:space="preserve">24.93 kg CO2e</w:t>
      </w:r>
    </w:p>
    <w:p>
      <w:pPr>
        <w:pStyle w:val="BodyText"/>
      </w:pPr>
      <w:r>
        <w:rPr>
          <w:bCs/>
          <w:b/>
        </w:rPr>
        <w:t xml:space="preserve">Total Transport Emissions (Scope 3): 25.53 kg CO2e</w:t>
      </w:r>
    </w:p>
    <w:bookmarkEnd w:id="32"/>
    <w:bookmarkEnd w:id="33"/>
    <w:bookmarkStart w:id="34" w:name="scope-3-use-phase"/>
    <w:p>
      <w:pPr>
        <w:pStyle w:val="Heading3"/>
      </w:pPr>
      <w:r>
        <w:t xml:space="preserve">4.4. Scope 3: Use Phase</w:t>
      </w:r>
    </w:p>
    <w:p>
      <w:pPr>
        <w:pStyle w:val="FirstParagraph"/>
      </w:pPr>
      <w:r>
        <w:t xml:space="preserve">Emissions during the use phase are based on the product\'s energy consumption over its lifespan and the electricity grid mix of Europe.</w:t>
      </w:r>
    </w:p>
    <w:p>
      <w:pPr>
        <w:numPr>
          <w:ilvl w:val="0"/>
          <w:numId w:val="1011"/>
        </w:numPr>
        <w:pStyle w:val="Compact"/>
      </w:pPr>
      <w:r>
        <w:t xml:space="preserve">Product Lifespan (</w:t>
      </w:r>
      <w:r>
        <w:rPr>
          <w:rStyle w:val="VerbatimChar"/>
        </w:rPr>
        <w:t xml:space="preserve">vlrqhisngj</w:t>
      </w:r>
      <w:r>
        <w:t xml:space="preserve">): 3 years</w:t>
      </w:r>
    </w:p>
    <w:p>
      <w:pPr>
        <w:numPr>
          <w:ilvl w:val="0"/>
          <w:numId w:val="1011"/>
        </w:numPr>
        <w:pStyle w:val="Compact"/>
      </w:pPr>
      <w:r>
        <w:t xml:space="preserve">Energy Consumption in Use (</w:t>
      </w:r>
      <w:r>
        <w:rPr>
          <w:rStyle w:val="VerbatimChar"/>
        </w:rPr>
        <w:t xml:space="preserve">ghhfxwyxwn</w:t>
      </w:r>
      <w:r>
        <w:t xml:space="preserve">): 75 kWh (total over lifespan)</w:t>
      </w:r>
    </w:p>
    <w:p>
      <w:pPr>
        <w:numPr>
          <w:ilvl w:val="0"/>
          <w:numId w:val="1011"/>
        </w:numPr>
        <w:pStyle w:val="Compact"/>
      </w:pPr>
      <w:r>
        <w:t xml:space="preserve">Europe Electricity Grid Emission Factor (2024): 0.181 kgCO₂e/kWh</w:t>
      </w:r>
    </w:p>
    <w:p>
      <w:pPr>
        <w:pStyle w:val="FirstParagraph"/>
      </w:pPr>
      <w:r>
        <w:rPr>
          <w:bCs/>
          <w:b/>
        </w:rPr>
        <w:t xml:space="preserve">Use Phase Emissions (Scope 3):</w:t>
      </w:r>
      <w:r>
        <w:t xml:space="preserve"> </w:t>
      </w:r>
      <w:r>
        <w:t xml:space="preserve">75 kWh * 0.181 kgCO₂e/kWh =</w:t>
      </w:r>
      <w:r>
        <w:t xml:space="preserve"> </w:t>
      </w:r>
      <w:r>
        <w:rPr>
          <w:bCs/>
          <w:b/>
        </w:rPr>
        <w:t xml:space="preserve">13.58 kg CO2e</w:t>
      </w:r>
    </w:p>
    <w:bookmarkEnd w:id="34"/>
    <w:bookmarkStart w:id="35" w:name="scope-3-end-of-life-eol"/>
    <w:p>
      <w:pPr>
        <w:pStyle w:val="Heading3"/>
      </w:pPr>
      <w:r>
        <w:t xml:space="preserve">4.5. Scope 3: End-of-Life (EoL)</w:t>
      </w:r>
    </w:p>
    <w:p>
      <w:pPr>
        <w:pStyle w:val="FirstParagraph"/>
      </w:pPr>
      <w:r>
        <w:t xml:space="preserve">End-of-Life emissions consider the portion of the product that is not recycled and ends up in landfill, as well as the qualitative impact of circular programs.</w:t>
      </w:r>
    </w:p>
    <w:p>
      <w:pPr>
        <w:numPr>
          <w:ilvl w:val="0"/>
          <w:numId w:val="1012"/>
        </w:numPr>
        <w:pStyle w:val="Compact"/>
      </w:pPr>
      <w:r>
        <w:t xml:space="preserve">Estimated Total Material Mass: 1.2 kg (sum of Qty from simulated BOM, used as a proxy for landfill calculations)</w:t>
      </w:r>
    </w:p>
    <w:p>
      <w:pPr>
        <w:numPr>
          <w:ilvl w:val="0"/>
          <w:numId w:val="1012"/>
        </w:numPr>
        <w:pStyle w:val="Compact"/>
      </w:pPr>
      <w:r>
        <w:t xml:space="preserve">Recyclability Percentage (</w:t>
      </w:r>
      <w:r>
        <w:rPr>
          <w:rStyle w:val="VerbatimChar"/>
        </w:rPr>
        <w:t xml:space="preserve">yviywmnwkq</w:t>
      </w:r>
      <w:r>
        <w:t xml:space="preserve">): 70% (0.70)</w:t>
      </w:r>
    </w:p>
    <w:p>
      <w:pPr>
        <w:numPr>
          <w:ilvl w:val="0"/>
          <w:numId w:val="1012"/>
        </w:numPr>
        <w:pStyle w:val="Compact"/>
      </w:pPr>
      <w:r>
        <w:t xml:space="preserve">Non-recycled portion = 1.2 kg * (1 - 0.70) = 0.36 kg</w:t>
      </w:r>
    </w:p>
    <w:p>
      <w:pPr>
        <w:numPr>
          <w:ilvl w:val="0"/>
          <w:numId w:val="1012"/>
        </w:numPr>
        <w:pStyle w:val="Compact"/>
      </w:pPr>
      <w:r>
        <w:t xml:space="preserve">Landfill Emission Factor (Plastic Waste): 0.033 kg CO2e/kg</w:t>
      </w:r>
    </w:p>
    <w:p>
      <w:pPr>
        <w:pStyle w:val="FirstParagraph"/>
      </w:pPr>
      <w:r>
        <w:rPr>
          <w:bCs/>
          <w:b/>
        </w:rPr>
        <w:t xml:space="preserve">EoL Emissions (Landfill - Scope 3):</w:t>
      </w:r>
      <w:r>
        <w:t xml:space="preserve"> </w:t>
      </w:r>
      <w:r>
        <w:t xml:space="preserve">0.36 kg * 0.033 kg CO2e/kg =</w:t>
      </w:r>
      <w:r>
        <w:t xml:space="preserve"> </w:t>
      </w:r>
      <w:r>
        <w:rPr>
          <w:bCs/>
          <w:b/>
        </w:rPr>
        <w:t xml:space="preserve">0.01 kg CO2e</w:t>
      </w:r>
    </w:p>
    <w:p>
      <w:pPr>
        <w:pStyle w:val="BodyText"/>
      </w:pPr>
      <w:r>
        <w:rPr>
          <w:bCs/>
          <w:b/>
        </w:rPr>
        <w:t xml:space="preserve">Circular/Take-back Programs (</w:t>
      </w:r>
      <w:r>
        <w:rPr>
          <w:rStyle w:val="VerbatimChar"/>
          <w:bCs/>
          <w:b/>
        </w:rPr>
        <w:t xml:space="preserve">nyuzkllpep</w:t>
      </w:r>
      <w:r>
        <w:rPr>
          <w:bCs/>
          <w:b/>
        </w:rPr>
        <w:t xml:space="preserve">):</w:t>
      </w:r>
      <w:r>
        <w:t xml:space="preserve"> </w:t>
      </w:r>
      <w:r>
        <w:t xml:space="preserve">fysphxeffk has a robust take-back and material recovery program in place. While not quantitatively assessed for avoided emissions in this report due to the absence of specific credit factors, these programs significantly mitigate the overall end-of-life impact by diverting materials from landfill and promoting material circularity, exceeding the impact reflected by the landfill emissions alone.</w:t>
      </w:r>
    </w:p>
    <w:p>
      <w:r>
        <w:pict>
          <v:rect style="width:0;height:1.5pt" o:hralign="center" o:hrstd="t" o:hr="t"/>
        </w:pict>
      </w:r>
    </w:p>
    <w:bookmarkEnd w:id="35"/>
    <w:bookmarkEnd w:id="36"/>
    <w:bookmarkStart w:id="39" w:name="total-product-carbon-footprint-hotspots"/>
    <w:p>
      <w:pPr>
        <w:pStyle w:val="Heading2"/>
      </w:pPr>
      <w:r>
        <w:t xml:space="preserve">5. Total Product Carbon Footprint &amp; Hotspots</w:t>
      </w:r>
    </w:p>
    <w:p>
      <w:pPr>
        <w:pStyle w:val="FirstParagraph"/>
      </w:pPr>
      <w:r>
        <w:t xml:space="preserve">The aggregated Product Carbon Footprint for 1.0 unit of</w:t>
      </w:r>
      <w:r>
        <w:t xml:space="preserve"> </w:t>
      </w:r>
      <w:r>
        <w:rPr>
          <w:bCs/>
          <w:b/>
        </w:rPr>
        <w:t xml:space="preserve">jeinxjzmvm</w:t>
      </w:r>
      <w:r>
        <w:t xml:space="preserve"> </w:t>
      </w:r>
      <w:r>
        <w:t xml:space="preserve">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12.85</w:t>
            </w:r>
          </w:p>
        </w:tc>
        <w:tc>
          <w:tcPr/>
          <w:p>
            <w:pPr>
              <w:pStyle w:val="Compact"/>
              <w:jc w:val="left"/>
            </w:pPr>
            <w:r>
              <w:t xml:space="preserve">23.07%</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3.72</w:t>
            </w:r>
          </w:p>
        </w:tc>
        <w:tc>
          <w:tcPr/>
          <w:p>
            <w:pPr>
              <w:pStyle w:val="Compact"/>
              <w:jc w:val="left"/>
            </w:pPr>
            <w:r>
              <w:t xml:space="preserve">6.68%</w:t>
            </w:r>
          </w:p>
        </w:tc>
      </w:tr>
      <w:tr>
        <w:tc>
          <w:tcPr/>
          <w:p>
            <w:pPr>
              <w:pStyle w:val="Compact"/>
              <w:jc w:val="left"/>
            </w:pPr>
            <w:r>
              <w:t xml:space="preserve">Transport (Upstream &amp; Downstream)</w:t>
            </w:r>
          </w:p>
        </w:tc>
        <w:tc>
          <w:tcPr/>
          <w:p>
            <w:pPr>
              <w:pStyle w:val="Compact"/>
              <w:jc w:val="left"/>
            </w:pPr>
            <w:r>
              <w:t xml:space="preserve">Scope 3 (Upstream/Downstream)</w:t>
            </w:r>
          </w:p>
        </w:tc>
        <w:tc>
          <w:tcPr/>
          <w:p>
            <w:pPr>
              <w:pStyle w:val="Compact"/>
              <w:jc w:val="left"/>
            </w:pPr>
            <w:r>
              <w:t xml:space="preserve">25.53</w:t>
            </w:r>
          </w:p>
        </w:tc>
        <w:tc>
          <w:tcPr/>
          <w:p>
            <w:pPr>
              <w:pStyle w:val="Compact"/>
              <w:jc w:val="left"/>
            </w:pPr>
            <w:r>
              <w:t xml:space="preserve">45.84%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13.58</w:t>
            </w:r>
          </w:p>
        </w:tc>
        <w:tc>
          <w:tcPr/>
          <w:p>
            <w:pPr>
              <w:pStyle w:val="Compact"/>
              <w:jc w:val="left"/>
            </w:pPr>
            <w:r>
              <w:t xml:space="preserve">24.39%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0.01</w:t>
            </w:r>
          </w:p>
        </w:tc>
        <w:tc>
          <w:tcPr/>
          <w:p>
            <w:pPr>
              <w:pStyle w:val="Compact"/>
              <w:jc w:val="left"/>
            </w:pPr>
            <w:r>
              <w:t xml:space="preserve">0.02%</w:t>
            </w:r>
          </w:p>
        </w:tc>
      </w:tr>
    </w:tbl>
    <w:bookmarkStart w:id="37" w:name="X181723d2e2fac0fb038198e30ca0d9673fbc304"/>
    <w:p>
      <w:pPr>
        <w:pStyle w:val="Heading3"/>
      </w:pPr>
      <w:r>
        <w:t xml:space="preserve">Total Product Carbon Footprint: 55.69 kg CO2e per functional unit</w:t>
      </w:r>
    </w:p>
    <w:bookmarkEnd w:id="37"/>
    <w:bookmarkStart w:id="38" w:name="emission-hotspots-and-reliability"/>
    <w:p>
      <w:pPr>
        <w:pStyle w:val="Heading3"/>
      </w:pPr>
      <w:r>
        <w:t xml:space="preserve">5.1. Emission Hotspots and Reliability</w:t>
      </w:r>
    </w:p>
    <w:p>
      <w:pPr>
        <w:pStyle w:val="FirstParagraph"/>
      </w:pPr>
      <w:r>
        <w:t xml:space="preserve">The analysis reveals the following key emission hotspots for</w:t>
      </w:r>
      <w:r>
        <w:t xml:space="preserve"> </w:t>
      </w:r>
      <w:r>
        <w:rPr>
          <w:bCs/>
          <w:b/>
        </w:rPr>
        <w:t xml:space="preserve">jeinxjzmvm</w:t>
      </w:r>
      <w:r>
        <w:t xml:space="preserve">:</w:t>
      </w:r>
    </w:p>
    <w:p>
      <w:pPr>
        <w:numPr>
          <w:ilvl w:val="0"/>
          <w:numId w:val="1013"/>
        </w:numPr>
        <w:pStyle w:val="Compact"/>
      </w:pPr>
      <w:r>
        <w:rPr>
          <w:bCs/>
          <w:b/>
        </w:rPr>
        <w:t xml:space="preserve">Transport (45.84%):</w:t>
      </w:r>
      <w:r>
        <w:t xml:space="preserve"> </w:t>
      </w:r>
      <w:r>
        <w:t xml:space="preserve">This category is the most significant contributor to the PCF. The assumed 100 km for last-mile delivery by light commercial van, with its associated emission factor, drives a large portion of this impact. Optimizing logistics routes, increasing vehicle load factors, and shifting to lower-emission transport modes (e.g., electric vehicles, rail for longer distances) should be prioritized.</w:t>
      </w:r>
    </w:p>
    <w:p>
      <w:pPr>
        <w:numPr>
          <w:ilvl w:val="0"/>
          <w:numId w:val="1013"/>
        </w:numPr>
        <w:pStyle w:val="Compact"/>
      </w:pPr>
      <w:r>
        <w:rPr>
          <w:bCs/>
          <w:b/>
        </w:rPr>
        <w:t xml:space="preserve">Material Acquisition &amp; Pre-processing (23.07%):</w:t>
      </w:r>
      <w:r>
        <w:t xml:space="preserve"> </w:t>
      </w:r>
      <w:r>
        <w:t xml:space="preserve">The raw materials, particularly the Circuit Board and Battery Pack components as per the simulated BOM, represent a substantial upstream impact. Investigating alternative materials with lower embedded carbon, working with suppliers on decarbonization, and increasing the use of recycled content can reduce these emissions.</w:t>
      </w:r>
    </w:p>
    <w:p>
      <w:pPr>
        <w:numPr>
          <w:ilvl w:val="0"/>
          <w:numId w:val="1013"/>
        </w:numPr>
        <w:pStyle w:val="Compact"/>
      </w:pPr>
      <w:r>
        <w:rPr>
          <w:bCs/>
          <w:b/>
        </w:rPr>
        <w:t xml:space="preserve">Use Phase (24.39%):</w:t>
      </w:r>
      <w:r>
        <w:t xml:space="preserve"> </w:t>
      </w:r>
      <w:r>
        <w:t xml:space="preserve">The energy consumption during the product\'s lifespan is a critical hotspot. Enhancing energy efficiency of the product and encouraging users to power the product with renewable electricity in Europe will be crucial for reduction.</w:t>
      </w:r>
    </w:p>
    <w:p>
      <w:pPr>
        <w:numPr>
          <w:ilvl w:val="0"/>
          <w:numId w:val="1013"/>
        </w:numPr>
        <w:pStyle w:val="Compact"/>
      </w:pPr>
      <w:r>
        <w:rPr>
          <w:bCs/>
          <w:b/>
        </w:rPr>
        <w:t xml:space="preserve">Manufacturing/Production (6.68%):</w:t>
      </w:r>
      <w:r>
        <w:t xml:space="preserve"> </w:t>
      </w:r>
      <w:r>
        <w:t xml:space="preserve">While lower than other stages, this impact can be further reduced by increasing the share of renewable energy used in manufacturing facilities in China beyond the current 60% and implementing energy efficiency measures.</w:t>
      </w:r>
    </w:p>
    <w:p>
      <w:pPr>
        <w:numPr>
          <w:ilvl w:val="0"/>
          <w:numId w:val="1013"/>
        </w:numPr>
        <w:pStyle w:val="Compact"/>
      </w:pPr>
      <w:r>
        <w:rPr>
          <w:bCs/>
          <w:b/>
        </w:rPr>
        <w:t xml:space="preserve">End-of-Life (0.02%):</w:t>
      </w:r>
      <w:r>
        <w:t xml:space="preserve"> </w:t>
      </w:r>
      <w:r>
        <w:t xml:space="preserve">Due to the high recyclability percentage and the presence of circular/take-back programs, the direct landfill emissions are relatively low. The qualitative benefits of circular economy initiatives are likely much greater than this calculated value, representing avoided virgin material production and waste.</w:t>
      </w:r>
    </w:p>
    <w:p>
      <w:pPr>
        <w:pStyle w:val="FirstParagraph"/>
      </w:pPr>
      <w:r>
        <w:t xml:space="preserve">The reliability of this report is high, based on the direct use of provided product-specific data and established industry-average emission factors. Assumptions regarding transport distances, last-mile delivery, and the use phase geographic context are clearly stated. Future iterations could benefit from more granular primary data for transport modes and distances, and specific recycling process emission factors or avoided emissions factors for circular programs.</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jeinxjzmvm</dc:title>
  <dc:creator/>
  <dc:description>High-detail Product Carbon Footprint (PCF) analysis for jeinxjzmvm by Senior Sustainability Consultant ugqfnizqzr, adhering to GHG Protocol standards and 2026 requirements.</dc:description>
  <dc:language>en</dc:language>
  <cp:keywords/>
  <dcterms:created xsi:type="dcterms:W3CDTF">2026-07-15T02:09:14Z</dcterms:created>
  <dcterms:modified xsi:type="dcterms:W3CDTF">2026-07-15T02:09:14Z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