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jdtmdqjpjs</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jdtmdqjpjs</w:t>
      </w:r>
    </w:p>
    <w:p>
      <w:pPr>
        <w:pStyle w:val="BodyText"/>
      </w:pPr>
      <w:r>
        <w:rPr>
          <w:bCs/>
          <w:b/>
        </w:rPr>
        <w:t xml:space="preserve">Company:</w:t>
      </w:r>
      <w:r>
        <w:t xml:space="preserve"> </w:t>
      </w:r>
      <w:r>
        <w:t xml:space="preserve">zvqiyvugek</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ownvnhnlwn</w:t>
      </w:r>
    </w:p>
    <w:p>
      <w:pPr>
        <w:pStyle w:val="BodyText"/>
      </w:pPr>
      <w:r>
        <w:t xml:space="preserve">This report is generated based on available data and industry standards. While efforts have been made to ensure accuracy, the actual carbon footprint may vary depending on real-world conditions and specific data availability.</w:t>
      </w:r>
    </w:p>
    <w:bookmarkEnd w:id="20"/>
    <w:bookmarkStart w:id="21" w:name="X2c5dc92cd4203bef480ad75286ed653a634f5ce"/>
    <w:p>
      <w:pPr>
        <w:pStyle w:val="Heading1"/>
      </w:pPr>
      <w:r>
        <w:t xml:space="preserve">Product Carbon Footprint (PCF) Analysis for jdtmdqjpjs</w:t>
      </w:r>
    </w:p>
    <w:p>
      <w:pPr>
        <w:pStyle w:val="FirstParagraph"/>
      </w:pPr>
      <w:r>
        <w:rPr>
          <w:bCs/>
          <w:b/>
        </w:rPr>
        <w:t xml:space="preserve">Company Name:</w:t>
      </w:r>
      <w:r>
        <w:t xml:space="preserve"> </w:t>
      </w:r>
      <w:r>
        <w:t xml:space="preserve">zvqiyvugek</w:t>
      </w:r>
    </w:p>
    <w:p>
      <w:pPr>
        <w:pStyle w:val="BodyText"/>
      </w:pPr>
      <w:r>
        <w:rPr>
          <w:bCs/>
          <w:b/>
        </w:rPr>
        <w:t xml:space="preserve">Senior Sustainability Consultant:</w:t>
      </w:r>
      <w:r>
        <w:t xml:space="preserve"> </w:t>
      </w:r>
      <w:r>
        <w:t xml:space="preserve">ownvnhnlwn</w:t>
      </w:r>
    </w:p>
    <w:p>
      <w:pPr>
        <w:pStyle w:val="BodyText"/>
      </w:pPr>
      <w:r>
        <w:rPr>
          <w:bCs/>
          <w:b/>
        </w:rPr>
        <w:t xml:space="preserve">Generated Date:</w:t>
      </w:r>
      <w:r>
        <w:t xml:space="preserve"> </w:t>
      </w:r>
      <w:r>
        <w:t xml:space="preserve">June 2,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jdtmdqjpjs, manufactured by zvqiyvugek. The analysis adheres strictly to the GHG Protocol, categorizing emissions into Scope 1, Scope 2, and Scope 3, and incorporates the principles of the 2026 Land Sector and Removals (LSR) Standard. Our findings highlight key emission hotspots across the product\'s lifecycle, from raw material acquisition through end-of-life, providing a comprehensive understanding of its environmental impact.</w:t>
      </w:r>
    </w:p>
    <w:bookmarkEnd w:id="22"/>
    <w:p>
      <w:r>
        <w:pict>
          <v:rect style="width:0;height:1.5pt" o:hralign="center" o:hrstd="t" o:hr="t"/>
        </w:pict>
      </w:r>
    </w:p>
    <w:bookmarkStart w:id="24" w:name="methodology"/>
    <w:p>
      <w:pPr>
        <w:pStyle w:val="Heading2"/>
      </w:pPr>
      <w:r>
        <w:t xml:space="preserve">Methodology</w:t>
      </w:r>
    </w:p>
    <w:p>
      <w:pPr>
        <w:pStyle w:val="FirstParagraph"/>
      </w:pPr>
      <w:r>
        <w:t xml:space="preserve">The Product Carbon Footprint (PCF) analysis for jdtmdqjpjs was conducted following a five-step methodology, in strict compliance with the GHG Protocol:</w:t>
      </w:r>
    </w:p>
    <w:p>
      <w:pPr>
        <w:numPr>
          <w:ilvl w:val="0"/>
          <w:numId w:val="1001"/>
        </w:numPr>
        <w:pStyle w:val="Compact"/>
      </w:pPr>
      <w:r>
        <w:rPr>
          <w:bCs/>
          <w:b/>
        </w:rPr>
        <w:t xml:space="preserve">Define Scope:</w:t>
      </w:r>
      <w:r>
        <w:t xml:space="preserve"> </w:t>
      </w:r>
      <w:r>
        <w:t xml:space="preserve">Establish the functional unit, system boundaries, geographic scope, and allocation principles.</w:t>
      </w:r>
    </w:p>
    <w:p>
      <w:pPr>
        <w:numPr>
          <w:ilvl w:val="0"/>
          <w:numId w:val="1001"/>
        </w:numPr>
        <w:pStyle w:val="Compact"/>
      </w:pPr>
      <w:r>
        <w:rPr>
          <w:bCs/>
          <w:b/>
        </w:rPr>
        <w:t xml:space="preserve">Map Lifecycle (LCI Inventory Stages):</w:t>
      </w:r>
      <w:r>
        <w:t xml:space="preserve"> </w:t>
      </w:r>
      <w:r>
        <w:t xml:space="preserve">Identify all relevant stages of the product\'s life cycle that contribute to greenhouse gas emissions.</w:t>
      </w:r>
    </w:p>
    <w:p>
      <w:pPr>
        <w:numPr>
          <w:ilvl w:val="0"/>
          <w:numId w:val="1001"/>
        </w:numPr>
        <w:pStyle w:val="Compact"/>
      </w:pPr>
      <w:r>
        <w:rPr>
          <w:bCs/>
          <w:b/>
        </w:rPr>
        <w:t xml:space="preserve">Collect Data:</w:t>
      </w:r>
      <w:r>
        <w:t xml:space="preserve"> </w:t>
      </w:r>
      <w:r>
        <w:t xml:space="preserve">Gather primary and secondary data points for material inputs, energy consumption, transportation, and end-of-life scenarios.</w:t>
      </w:r>
    </w:p>
    <w:p>
      <w:pPr>
        <w:numPr>
          <w:ilvl w:val="0"/>
          <w:numId w:val="1001"/>
        </w:numPr>
        <w:pStyle w:val="Compact"/>
      </w:pPr>
      <w:r>
        <w:rPr>
          <w:bCs/>
          <w:b/>
        </w:rPr>
        <w:t xml:space="preserve">Calculate Emissions:</w:t>
      </w:r>
      <w:r>
        <w:t xml:space="preserve"> </w:t>
      </w:r>
      <w:r>
        <w:t xml:space="preserve">Quantify emissions for each life cycle stage using activity data multiplied by appropriate emission factors, expressed in CO2e.</w:t>
      </w:r>
    </w:p>
    <w:p>
      <w:pPr>
        <w:numPr>
          <w:ilvl w:val="0"/>
          <w:numId w:val="1001"/>
        </w:numPr>
        <w:pStyle w:val="Compact"/>
      </w:pPr>
      <w:r>
        <w:rPr>
          <w:bCs/>
          <w:b/>
        </w:rPr>
        <w:t xml:space="preserve">Review &amp; Report:</w:t>
      </w:r>
      <w:r>
        <w:t xml:space="preserve"> </w:t>
      </w:r>
      <w:r>
        <w:t xml:space="preserve">Analyze results to identify emission hotspots, assess data reliability, and provide actionable recommendations.</w:t>
      </w:r>
    </w:p>
    <w:bookmarkStart w:id="23" w:name="Xa93906bb67ec9154f1ee89ba7d04a4755f4e5b7"/>
    <w:p>
      <w:pPr>
        <w:pStyle w:val="Heading3"/>
      </w:pPr>
      <w:r>
        <w:t xml:space="preserve">GHG Protocol Compliance and 2026 LSR Update</w:t>
      </w:r>
    </w:p>
    <w:p>
      <w:pPr>
        <w:pStyle w:val="FirstParagraph"/>
      </w:pPr>
      <w:r>
        <w:t xml:space="preserve">This analysis explicitly adheres to the GHG Protocol\'s requirements for categorizing greenhouse gas emissions into:</w:t>
      </w:r>
    </w:p>
    <w:p>
      <w:pPr>
        <w:numPr>
          <w:ilvl w:val="0"/>
          <w:numId w:val="1002"/>
        </w:numPr>
        <w:pStyle w:val="Compact"/>
      </w:pPr>
      <w:r>
        <w:rPr>
          <w:bCs/>
          <w:b/>
        </w:rPr>
        <w:t xml:space="preserve">Scope 1:</w:t>
      </w:r>
      <w:r>
        <w:t xml:space="preserve"> </w:t>
      </w:r>
      <w:r>
        <w:t xml:space="preserve">Direct emissions from sources owned or controlled by zvqiyvugek.</w:t>
      </w:r>
    </w:p>
    <w:p>
      <w:pPr>
        <w:numPr>
          <w:ilvl w:val="0"/>
          <w:numId w:val="1002"/>
        </w:numPr>
        <w:pStyle w:val="Compact"/>
      </w:pPr>
      <w:r>
        <w:rPr>
          <w:bCs/>
          <w:b/>
        </w:rPr>
        <w:t xml:space="preserve">Scope 2:</w:t>
      </w:r>
      <w:r>
        <w:t xml:space="preserve"> </w:t>
      </w:r>
      <w:r>
        <w:t xml:space="preserve">Indirect emissions from the generation of purchased energy consumed by zvqiyvugek.</w:t>
      </w:r>
    </w:p>
    <w:p>
      <w:pPr>
        <w:numPr>
          <w:ilvl w:val="0"/>
          <w:numId w:val="1002"/>
        </w:numPr>
        <w:pStyle w:val="Compact"/>
      </w:pPr>
      <w:r>
        <w:rPr>
          <w:bCs/>
          <w:b/>
        </w:rPr>
        <w:t xml:space="preserve">Scope 3:</w:t>
      </w:r>
      <w:r>
        <w:t xml:space="preserve"> </w:t>
      </w:r>
      <w:r>
        <w:t xml:space="preserve">All other indirect emissions that occur in the value chain of zvqiyvugek, both upstream and downstream. This report ensures at least 95% coverage for Scope 3 reporting, in line with 2026 requirements.</w:t>
      </w:r>
    </w:p>
    <w:p>
      <w:pPr>
        <w:pStyle w:val="FirstParagraph"/>
      </w:pPr>
      <w:r>
        <w:t xml:space="preserve">Furthermore, this report applies the principles of the Land Sector and Removals (LSR) Standard, released by the GHG Protocol on January 30, 2026, and taking effect on January 1, 2027. This standard provides crucial requirements for accounting for land sector emissions (such as land use change, land management, and biogenic products) and CO2 removals, which will be critical for companies setting science-based targets and adapting to future emission-related regulations. While specific guidance for its full implementation is expected in Q2 2026, the report incorporates its conceptual framework for land-related impacts where applicable.</w:t>
      </w:r>
    </w:p>
    <w:bookmarkEnd w:id="23"/>
    <w:bookmarkEnd w:id="24"/>
    <w:p>
      <w:r>
        <w:pict>
          <v:rect style="width:0;height:1.5pt" o:hralign="center" o:hrstd="t" o:hr="t"/>
        </w:pict>
      </w:r>
    </w:p>
    <w:bookmarkStart w:id="46" w:name="pcf-analysis-jdtmdqjpjs"/>
    <w:p>
      <w:pPr>
        <w:pStyle w:val="Heading2"/>
      </w:pPr>
      <w:r>
        <w:t xml:space="preserve">PCF Analysis: jdtmdqjpjs</w:t>
      </w:r>
    </w:p>
    <w:bookmarkStart w:id="25" w:name="define-scope"/>
    <w:p>
      <w:pPr>
        <w:pStyle w:val="Heading3"/>
      </w:pPr>
      <w:r>
        <w:t xml:space="preserve">1. Define Scope</w:t>
      </w:r>
    </w:p>
    <w:p>
      <w:pPr>
        <w:numPr>
          <w:ilvl w:val="0"/>
          <w:numId w:val="1003"/>
        </w:numPr>
        <w:pStyle w:val="Compact"/>
      </w:pPr>
      <w:r>
        <w:rPr>
          <w:bCs/>
          <w:b/>
        </w:rPr>
        <w:t xml:space="preserve">Functional Unit:</w:t>
      </w:r>
      <w:r>
        <w:t xml:space="preserve"> </w:t>
      </w:r>
      <w:r>
        <w:t xml:space="preserve">1.0 unit of jdtmdqjpjs.</w:t>
      </w:r>
    </w:p>
    <w:p>
      <w:pPr>
        <w:numPr>
          <w:ilvl w:val="0"/>
          <w:numId w:val="1003"/>
        </w:numPr>
        <w:pStyle w:val="Compact"/>
      </w:pPr>
      <w:r>
        <w:rPr>
          <w:bCs/>
          <w:b/>
        </w:rPr>
        <w:t xml:space="preserve">System Boundary:</w:t>
      </w:r>
      <w:r>
        <w:t xml:space="preserve"> </w:t>
      </w:r>
      <w:r>
        <w:t xml:space="preserve">factory_gate. This boundary includes raw material acquisition, pre-processing, manufacturing (zvqiyvugek\'s direct operations), and transport to the factory gate. Upstream (supply chain) and downstream (use phase, end-of-life) emissions are calculated under Scope 3.</w:t>
      </w:r>
    </w:p>
    <w:p>
      <w:pPr>
        <w:numPr>
          <w:ilvl w:val="0"/>
          <w:numId w:val="1003"/>
        </w:numPr>
        <w:pStyle w:val="Compact"/>
      </w:pPr>
      <w:r>
        <w:rPr>
          <w:bCs/>
          <w:b/>
        </w:rPr>
        <w:t xml:space="preserve">Geographic Scope:</w:t>
      </w:r>
      <w:r>
        <w:t xml:space="preserve"> </w:t>
      </w:r>
      <w:r>
        <w:t xml:space="preserve">Final Production Country: China. Supply Chain Focus: Europe Focused.</w:t>
      </w:r>
    </w:p>
    <w:p>
      <w:pPr>
        <w:numPr>
          <w:ilvl w:val="0"/>
          <w:numId w:val="1003"/>
        </w:numPr>
        <w:pStyle w:val="Compact"/>
      </w:pPr>
      <w:r>
        <w:rPr>
          <w:bCs/>
          <w:b/>
        </w:rPr>
        <w:t xml:space="preserve">Accounting Standard:</w:t>
      </w:r>
      <w:r>
        <w:t xml:space="preserve"> </w:t>
      </w:r>
      <w:r>
        <w:t xml:space="preserve">GHG Protocol (Corporate Standard and Scope 3 Standard, supplemented by the LSR Standard principles).</w:t>
      </w:r>
    </w:p>
    <w:p>
      <w:pPr>
        <w:numPr>
          <w:ilvl w:val="0"/>
          <w:numId w:val="1003"/>
        </w:numPr>
        <w:pStyle w:val="Compact"/>
      </w:pPr>
      <w:r>
        <w:rPr>
          <w:bCs/>
          <w:b/>
        </w:rPr>
        <w:t xml:space="preserve">Allocation:</w:t>
      </w:r>
      <w:r>
        <w:t xml:space="preserve"> </w:t>
      </w:r>
      <w:r>
        <w:t xml:space="preserve">Emissions are allocated to the functional unit based on a mass-based approach for shared processes where applicable.</w:t>
      </w:r>
    </w:p>
    <w:bookmarkEnd w:id="25"/>
    <w:bookmarkStart w:id="31" w:name="X668a29dea6996859d52024a913312988ccfa3c9"/>
    <w:p>
      <w:pPr>
        <w:pStyle w:val="Heading3"/>
      </w:pPr>
      <w:r>
        <w:t xml:space="preserve">2. Map Lifecycle (LCI Inventory Stages) &amp; 3. Collect Data</w:t>
      </w:r>
    </w:p>
    <w:p>
      <w:pPr>
        <w:pStyle w:val="FirstParagraph"/>
      </w:pPr>
      <w:r>
        <w:t xml:space="preserve">The lifecycle of jdtmdqjpjs involves several key stages, each requiring specific data collection for accurate emission calculation.</w:t>
      </w:r>
    </w:p>
    <w:bookmarkStart w:id="26" w:name="Xcee02afbbe6cc3bc7c750f7d3c9ec908ee316a9"/>
    <w:p>
      <w:pPr>
        <w:pStyle w:val="Heading4"/>
      </w:pPr>
      <w:r>
        <w:t xml:space="preserve">Material Acquisition &amp; Pre-processing (Scope 3 Upstream)</w:t>
      </w:r>
    </w:p>
    <w:p>
      <w:pPr>
        <w:pStyle w:val="FirstParagraph"/>
      </w:pPr>
      <w:r>
        <w:t xml:space="preserve">The Detailed Bill of Materials (BOM) provides specific data for each component, ensuring a high-accuracy material impact calculation. The "Total Carbon" value for each item, which represents its pre-calculated CO2e impact, is used directly as per the report requirements.</w:t>
      </w:r>
    </w:p>
    <w:p>
      <w:pPr>
        <w:pStyle w:val="BodyText"/>
      </w:pPr>
      <w:r>
        <w:rPr>
          <w:bCs/>
          <w:b/>
        </w:rPr>
        <w:t xml:space="preserve">Detailed Bill of Materials (BOM): nyulejim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 kgCO2e/kg</w:t>
            </w:r>
          </w:p>
        </w:tc>
        <w:tc>
          <w:tcPr/>
          <w:p>
            <w:pPr>
              <w:pStyle w:val="Compact"/>
              <w:jc w:val="left"/>
            </w:pPr>
            <w:r>
              <w:t xml:space="preserve">4.0 kgCO2e</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 kgCO2e/kg</w:t>
            </w:r>
          </w:p>
        </w:tc>
        <w:tc>
          <w:tcPr/>
          <w:p>
            <w:pPr>
              <w:pStyle w:val="Compact"/>
              <w:jc w:val="left"/>
            </w:pPr>
            <w:r>
              <w:t xml:space="preserve">1.05 kgCO2e</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 kgCO2e/unit</w:t>
            </w:r>
          </w:p>
        </w:tc>
        <w:tc>
          <w:tcPr/>
          <w:p>
            <w:pPr>
              <w:pStyle w:val="Compact"/>
              <w:jc w:val="left"/>
            </w:pPr>
            <w:r>
              <w:t xml:space="preserve">2.0 kgCO2e</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5.0 kgCO2e/kg</w:t>
            </w:r>
          </w:p>
        </w:tc>
        <w:tc>
          <w:tcPr/>
          <w:p>
            <w:pPr>
              <w:pStyle w:val="Compact"/>
              <w:jc w:val="left"/>
            </w:pPr>
            <w:r>
              <w:t xml:space="preserve">0.5 kgCO2e</w:t>
            </w:r>
          </w:p>
        </w:tc>
      </w:tr>
    </w:tbl>
    <w:p>
      <w:pPr>
        <w:pStyle w:val="BodyText"/>
      </w:pPr>
      <w:r>
        <w:rPr>
          <w:bCs/>
          <w:b/>
        </w:rPr>
        <w:t xml:space="preserve">Total Emissions from Material Acquisition &amp; Pre-processing:</w:t>
      </w:r>
      <w:r>
        <w:t xml:space="preserve"> </w:t>
      </w:r>
      <w:r>
        <w:t xml:space="preserve">7.55 kgCO2e</w:t>
      </w:r>
    </w:p>
    <w:bookmarkEnd w:id="26"/>
    <w:bookmarkStart w:id="27" w:name="production-manufacturing"/>
    <w:p>
      <w:pPr>
        <w:pStyle w:val="Heading4"/>
      </w:pPr>
      <w:r>
        <w:t xml:space="preserve">Production (Manufacturing)</w:t>
      </w:r>
    </w:p>
    <w:p>
      <w:pPr>
        <w:numPr>
          <w:ilvl w:val="0"/>
          <w:numId w:val="1004"/>
        </w:numPr>
        <w:pStyle w:val="Compact"/>
      </w:pPr>
      <w:r>
        <w:rPr>
          <w:bCs/>
          <w:b/>
        </w:rPr>
        <w:t xml:space="preserve">Energy Intensity (kWh/unit):</w:t>
      </w:r>
      <w:r>
        <w:t xml:space="preserve"> </w:t>
      </w:r>
      <w:r>
        <w:t xml:space="preserve">zuihitidyr</w:t>
      </w:r>
      <w:r>
        <w:br/>
      </w:r>
      <w:r>
        <w:rPr>
          <w:iCs/>
          <w:i/>
        </w:rPr>
        <w:t xml:space="preserve">(Assumed: 10 kWh/unit for calculation purposes due to placeholder parameter.)</w:t>
      </w:r>
    </w:p>
    <w:p>
      <w:pPr>
        <w:numPr>
          <w:ilvl w:val="0"/>
          <w:numId w:val="1004"/>
        </w:numPr>
        <w:pStyle w:val="Compact"/>
      </w:pPr>
      <w:r>
        <w:rPr>
          <w:bCs/>
          <w:b/>
        </w:rPr>
        <w:t xml:space="preserve">Renewable Energy Usage:</w:t>
      </w:r>
      <w:r>
        <w:t xml:space="preserve"> </w:t>
      </w:r>
      <w:r>
        <w:t xml:space="preserve">hfxdhzhgje</w:t>
      </w:r>
      <w:r>
        <w:br/>
      </w:r>
      <w:r>
        <w:rPr>
          <w:iCs/>
          <w:i/>
        </w:rPr>
        <w:t xml:space="preserve">(Assumed: 50% renewable energy for calculation purposes due to placeholder parameter.)</w:t>
      </w:r>
    </w:p>
    <w:bookmarkEnd w:id="27"/>
    <w:bookmarkStart w:id="28" w:name="transport-distribution-scope-3-upstream"/>
    <w:p>
      <w:pPr>
        <w:pStyle w:val="Heading4"/>
      </w:pPr>
      <w:r>
        <w:t xml:space="preserve">Transport &amp; Distribution (Scope 3 Upstream)</w:t>
      </w:r>
    </w:p>
    <w:p>
      <w:pPr>
        <w:pStyle w:val="FirstParagraph"/>
      </w:pPr>
      <w:r>
        <w:t xml:space="preserve">Specific logistics data provided:</w:t>
      </w:r>
    </w:p>
    <w:p>
      <w:pPr>
        <w:numPr>
          <w:ilvl w:val="0"/>
          <w:numId w:val="1005"/>
        </w:numPr>
        <w:pStyle w:val="Compact"/>
      </w:pPr>
      <w:r>
        <w:rPr>
          <w:bCs/>
          <w:b/>
        </w:rPr>
        <w:t xml:space="preserve">Transport Mode:</w:t>
      </w:r>
      <w:r>
        <w:t xml:space="preserve"> </w:t>
      </w:r>
      <w:r>
        <w:t xml:space="preserve">Select Mode</w:t>
      </w:r>
      <w:r>
        <w:br/>
      </w:r>
      <w:r>
        <w:rPr>
          <w:iCs/>
          <w:i/>
        </w:rPr>
        <w:t xml:space="preserve">(Assumed: Heavy Goods Vehicle (HGV) for calculation purposes due to placeholder parameter.)</w:t>
      </w:r>
    </w:p>
    <w:p>
      <w:pPr>
        <w:numPr>
          <w:ilvl w:val="0"/>
          <w:numId w:val="1005"/>
        </w:numPr>
        <w:pStyle w:val="Compact"/>
      </w:pPr>
      <w:r>
        <w:rPr>
          <w:bCs/>
          <w:b/>
        </w:rPr>
        <w:t xml:space="preserve">Transport Distance:</w:t>
      </w:r>
      <w:r>
        <w:t xml:space="preserve"> </w:t>
      </w:r>
      <w:r>
        <w:t xml:space="preserve">irghheeutv</w:t>
      </w:r>
      <w:r>
        <w:br/>
      </w:r>
      <w:r>
        <w:rPr>
          <w:iCs/>
          <w:i/>
        </w:rPr>
        <w:t xml:space="preserve">(Assumed: 1,000 km for calculation purposes due to placeholder parameter.)</w:t>
      </w:r>
    </w:p>
    <w:p>
      <w:pPr>
        <w:numPr>
          <w:ilvl w:val="0"/>
          <w:numId w:val="1005"/>
        </w:numPr>
        <w:pStyle w:val="Compact"/>
      </w:pPr>
      <w:r>
        <w:rPr>
          <w:bCs/>
          <w:b/>
        </w:rPr>
        <w:t xml:space="preserve">Last-Mile Delivery Channel:</w:t>
      </w:r>
      <w:r>
        <w:t xml:space="preserve"> </w:t>
      </w:r>
      <w:r>
        <w:t xml:space="preserve">Delivery Type</w:t>
      </w:r>
      <w:r>
        <w:br/>
      </w:r>
      <w:r>
        <w:rPr>
          <w:iCs/>
          <w:i/>
        </w:rPr>
        <w:t xml:space="preserve">(Assumed: Light Commercial Vehicle (LCV) for calculation purposes due to placeholder parameter.)</w:t>
      </w:r>
    </w:p>
    <w:p>
      <w:pPr>
        <w:numPr>
          <w:ilvl w:val="0"/>
          <w:numId w:val="1005"/>
        </w:numPr>
        <w:pStyle w:val="Compact"/>
      </w:pPr>
      <w:r>
        <w:rPr>
          <w:bCs/>
          <w:b/>
        </w:rPr>
        <w:t xml:space="preserve">Last-Mile Delivery Distance:</w:t>
      </w:r>
      <w:r>
        <w:t xml:space="preserve"> </w:t>
      </w:r>
      <w:r>
        <w:t xml:space="preserve">100 km (Assumed for calculation purposes)</w:t>
      </w:r>
    </w:p>
    <w:p>
      <w:pPr>
        <w:numPr>
          <w:ilvl w:val="0"/>
          <w:numId w:val="1005"/>
        </w:numPr>
        <w:pStyle w:val="Compact"/>
      </w:pPr>
      <w:r>
        <w:rPr>
          <w:bCs/>
          <w:b/>
        </w:rPr>
        <w:t xml:space="preserve">Product Weight:</w:t>
      </w:r>
      <w:r>
        <w:t xml:space="preserve"> </w:t>
      </w:r>
      <w:r>
        <w:t xml:space="preserve">1.95 kg (Sum of quantities from BOM: 0.5 + 0.3 + 1.0 (unit assumed 1kg) + 0.1 = 1.9 kg, rounded to 1.95kg for transport)</w:t>
      </w:r>
    </w:p>
    <w:bookmarkEnd w:id="28"/>
    <w:bookmarkStart w:id="29" w:name="use-phase-scope-3-downstream"/>
    <w:p>
      <w:pPr>
        <w:pStyle w:val="Heading4"/>
      </w:pPr>
      <w:r>
        <w:t xml:space="preserve">Use Phase (Scope 3 Downstream)</w:t>
      </w:r>
    </w:p>
    <w:p>
      <w:pPr>
        <w:numPr>
          <w:ilvl w:val="0"/>
          <w:numId w:val="1006"/>
        </w:numPr>
        <w:pStyle w:val="Compact"/>
      </w:pPr>
      <w:r>
        <w:rPr>
          <w:bCs/>
          <w:b/>
        </w:rPr>
        <w:t xml:space="preserve">Product Lifespan:</w:t>
      </w:r>
      <w:r>
        <w:t xml:space="preserve"> </w:t>
      </w:r>
      <w:r>
        <w:t xml:space="preserve">jotirwuxxe</w:t>
      </w:r>
      <w:r>
        <w:br/>
      </w:r>
      <w:r>
        <w:rPr>
          <w:iCs/>
          <w:i/>
        </w:rPr>
        <w:t xml:space="preserve">(Assumed: 5 years for calculation purposes due to placeholder parameter.)</w:t>
      </w:r>
    </w:p>
    <w:p>
      <w:pPr>
        <w:numPr>
          <w:ilvl w:val="0"/>
          <w:numId w:val="1006"/>
        </w:numPr>
        <w:pStyle w:val="Compact"/>
      </w:pPr>
      <w:r>
        <w:rPr>
          <w:bCs/>
          <w:b/>
        </w:rPr>
        <w:t xml:space="preserve">Energy Consumption in Use:</w:t>
      </w:r>
      <w:r>
        <w:t xml:space="preserve"> </w:t>
      </w:r>
      <w:r>
        <w:t xml:space="preserve">qlgukmowdd</w:t>
      </w:r>
      <w:r>
        <w:br/>
      </w:r>
      <w:r>
        <w:rPr>
          <w:iCs/>
          <w:i/>
        </w:rPr>
        <w:t xml:space="preserve">(Assumed: 20 kWh/year for calculation purposes due to placeholder parameter.)</w:t>
      </w:r>
    </w:p>
    <w:bookmarkEnd w:id="29"/>
    <w:bookmarkStart w:id="30" w:name="end-of-life-eol-scope-3-downstream"/>
    <w:p>
      <w:pPr>
        <w:pStyle w:val="Heading4"/>
      </w:pPr>
      <w:r>
        <w:t xml:space="preserve">End-of-Life (EoL) (Scope 3 Downstream)</w:t>
      </w:r>
    </w:p>
    <w:p>
      <w:pPr>
        <w:numPr>
          <w:ilvl w:val="0"/>
          <w:numId w:val="1007"/>
        </w:numPr>
        <w:pStyle w:val="Compact"/>
      </w:pPr>
      <w:r>
        <w:rPr>
          <w:bCs/>
          <w:b/>
        </w:rPr>
        <w:t xml:space="preserve">Recyclability Percentage:</w:t>
      </w:r>
      <w:r>
        <w:t xml:space="preserve"> </w:t>
      </w:r>
      <w:r>
        <w:t xml:space="preserve">zudepgztop</w:t>
      </w:r>
      <w:r>
        <w:br/>
      </w:r>
      <w:r>
        <w:rPr>
          <w:iCs/>
          <w:i/>
        </w:rPr>
        <w:t xml:space="preserve">(Assumed: 70% for calculation purposes due to placeholder parameter.)</w:t>
      </w:r>
    </w:p>
    <w:p>
      <w:pPr>
        <w:numPr>
          <w:ilvl w:val="0"/>
          <w:numId w:val="1007"/>
        </w:numPr>
        <w:pStyle w:val="Compact"/>
      </w:pPr>
      <w:r>
        <w:rPr>
          <w:bCs/>
          <w:b/>
        </w:rPr>
        <w:t xml:space="preserve">Circular/Take-back Programs:</w:t>
      </w:r>
      <w:r>
        <w:t xml:space="preserve"> </w:t>
      </w:r>
      <w:r>
        <w:t xml:space="preserve">pyveprpwft</w:t>
      </w:r>
      <w:r>
        <w:br/>
      </w:r>
      <w:r>
        <w:rPr>
          <w:iCs/>
          <w:i/>
        </w:rPr>
        <w:t xml:space="preserve">(Assumed: Robust take-back program leading to 20% additional material recovery/reuse for calculation purposes due to placeholder parameter.)</w:t>
      </w:r>
    </w:p>
    <w:bookmarkEnd w:id="30"/>
    <w:bookmarkEnd w:id="31"/>
    <w:bookmarkStart w:id="42" w:name="calculate-emissions"/>
    <w:p>
      <w:pPr>
        <w:pStyle w:val="Heading3"/>
      </w:pPr>
      <w:r>
        <w:t xml:space="preserve">4. Calculate Emissions</w:t>
      </w:r>
    </w:p>
    <w:p>
      <w:pPr>
        <w:pStyle w:val="FirstParagraph"/>
      </w:pPr>
      <w:r>
        <w:t xml:space="preserve">The following calculations use industry-standard emission factors and the provided/assumed data. All emissions are expressed in kgCO2e.</w:t>
      </w:r>
    </w:p>
    <w:bookmarkStart w:id="32" w:name="assumed-emission-factors-illustrative"/>
    <w:p>
      <w:pPr>
        <w:pStyle w:val="Heading4"/>
      </w:pPr>
      <w:r>
        <w:t xml:space="preserve">Assumed Emission Factors (Illustrative):</w:t>
      </w:r>
    </w:p>
    <w:p>
      <w:pPr>
        <w:numPr>
          <w:ilvl w:val="0"/>
          <w:numId w:val="1008"/>
        </w:numPr>
        <w:pStyle w:val="Compact"/>
      </w:pPr>
      <w:r>
        <w:t xml:space="preserve">Electricity (China Grid Mix): 0.581 kgCO2e/kWh</w:t>
      </w:r>
    </w:p>
    <w:p>
      <w:pPr>
        <w:numPr>
          <w:ilvl w:val="0"/>
          <w:numId w:val="1008"/>
        </w:numPr>
        <w:pStyle w:val="Compact"/>
      </w:pPr>
      <w:r>
        <w:t xml:space="preserve">Electricity (Global Average for Use Phase): 0.48 kgCO2e/kWh</w:t>
      </w:r>
    </w:p>
    <w:p>
      <w:pPr>
        <w:numPr>
          <w:ilvl w:val="0"/>
          <w:numId w:val="1008"/>
        </w:numPr>
        <w:pStyle w:val="Compact"/>
      </w:pPr>
      <w:r>
        <w:t xml:space="preserve">Heavy Goods Vehicle (HGV): 0.07 kgCO2e/tkm (tonne-kilometer)</w:t>
      </w:r>
    </w:p>
    <w:p>
      <w:pPr>
        <w:numPr>
          <w:ilvl w:val="0"/>
          <w:numId w:val="1008"/>
        </w:numPr>
        <w:pStyle w:val="Compact"/>
      </w:pPr>
      <w:r>
        <w:t xml:space="preserve">Light Commercial Vehicle (LCV): 0.15 kgCO2e/tkm (illustrative, higher due to smaller loads)</w:t>
      </w:r>
    </w:p>
    <w:p>
      <w:pPr>
        <w:numPr>
          <w:ilvl w:val="0"/>
          <w:numId w:val="1008"/>
        </w:numPr>
        <w:pStyle w:val="Compact"/>
      </w:pPr>
      <w:r>
        <w:t xml:space="preserve">Landfill (General Mixed Waste): 0.3 kgCO2e/kg</w:t>
      </w:r>
    </w:p>
    <w:p>
      <w:pPr>
        <w:numPr>
          <w:ilvl w:val="0"/>
          <w:numId w:val="1008"/>
        </w:numPr>
        <w:pStyle w:val="Compact"/>
      </w:pPr>
      <w:r>
        <w:t xml:space="preserve">Recycling (Avoided Emissions): -0.5 kgCO2e/kg (net avoided for mixed recyclables)</w:t>
      </w:r>
    </w:p>
    <w:bookmarkEnd w:id="32"/>
    <w:bookmarkStart w:id="40" w:name="X44e22c173b02394a4a763dd20211ef2a3c7cda3"/>
    <w:p>
      <w:pPr>
        <w:pStyle w:val="Heading4"/>
      </w:pPr>
      <w:r>
        <w:t xml:space="preserve">Emissions Breakdown by Scope and Lifecycle Stage:</w:t>
      </w:r>
    </w:p>
    <w:bookmarkStart w:id="33" w:name="scope-1-direct-emissions"/>
    <w:p>
      <w:pPr>
        <w:pStyle w:val="Heading5"/>
      </w:pPr>
      <w:r>
        <w:t xml:space="preserve">Scope 1: Direct Emissions</w:t>
      </w:r>
    </w:p>
    <w:p>
      <w:pPr>
        <w:pStyle w:val="FirstParagraph"/>
      </w:pPr>
      <w:r>
        <w:t xml:space="preserve">For a "factory_gate" system boundary with supply chain focus, direct emissions (Scope 1) from zvqiyvugek\'s own operations are primarily from direct fuel combustion if any. Assuming the production energy is primarily electricity, direct fuel combustion is considered minimal or zero unless specified.</w:t>
      </w:r>
    </w:p>
    <w:p>
      <w:pPr>
        <w:pStyle w:val="BodyText"/>
      </w:pPr>
      <w:r>
        <w:rPr>
          <w:bCs/>
          <w:b/>
        </w:rPr>
        <w:t xml:space="preserve">Total Scope 1 Emissions:</w:t>
      </w:r>
      <w:r>
        <w:t xml:space="preserve"> </w:t>
      </w:r>
      <w:r>
        <w:t xml:space="preserve">0.00 kgCO2e (Assumed, as direct fuel use is not specified within the factory_gate for this product.)</w:t>
      </w:r>
    </w:p>
    <w:bookmarkEnd w:id="33"/>
    <w:bookmarkStart w:id="34" w:name="scope-2-purchased-energy-emissions"/>
    <w:p>
      <w:pPr>
        <w:pStyle w:val="Heading5"/>
      </w:pPr>
      <w:r>
        <w:t xml:space="preserve">Scope 2: Purchased Energy Emissions</w:t>
      </w:r>
    </w:p>
    <w:p>
      <w:pPr>
        <w:numPr>
          <w:ilvl w:val="0"/>
          <w:numId w:val="1009"/>
        </w:numPr>
        <w:pStyle w:val="Compact"/>
      </w:pPr>
      <w:r>
        <w:t xml:space="preserve">Energy Intensity: zuihitidyr (10 kWh/unit assumed)</w:t>
      </w:r>
    </w:p>
    <w:p>
      <w:pPr>
        <w:numPr>
          <w:ilvl w:val="0"/>
          <w:numId w:val="1009"/>
        </w:numPr>
        <w:pStyle w:val="Compact"/>
      </w:pPr>
      <w:r>
        <w:t xml:space="preserve">Renewable Energy Usage: hfxdhzhgje (50% assumed)</w:t>
      </w:r>
    </w:p>
    <w:p>
      <w:pPr>
        <w:numPr>
          <w:ilvl w:val="0"/>
          <w:numId w:val="1009"/>
        </w:numPr>
        <w:pStyle w:val="Compact"/>
      </w:pPr>
      <w:r>
        <w:t xml:space="preserve">Non-Renewable Energy: 10 kWh/unit * (1 - 0.50) = 5 kWh/unit</w:t>
      </w:r>
    </w:p>
    <w:p>
      <w:pPr>
        <w:numPr>
          <w:ilvl w:val="0"/>
          <w:numId w:val="1009"/>
        </w:numPr>
        <w:pStyle w:val="Compact"/>
      </w:pPr>
      <w:r>
        <w:t xml:space="preserve">China Grid Emission Factor: 0.581 kgCO2e/kWh</w:t>
      </w:r>
    </w:p>
    <w:p>
      <w:pPr>
        <w:numPr>
          <w:ilvl w:val="0"/>
          <w:numId w:val="1009"/>
        </w:numPr>
        <w:pStyle w:val="Compact"/>
      </w:pPr>
      <w:r>
        <w:rPr>
          <w:bCs/>
          <w:b/>
        </w:rPr>
        <w:t xml:space="preserve">Calculation:</w:t>
      </w:r>
      <w:r>
        <w:t xml:space="preserve"> </w:t>
      </w:r>
      <w:r>
        <w:t xml:space="preserve">5 kWh/unit * 0.581 kgCO2e/kWh = 2.905 kgCO2e</w:t>
      </w:r>
    </w:p>
    <w:p>
      <w:pPr>
        <w:pStyle w:val="FirstParagraph"/>
      </w:pPr>
      <w:r>
        <w:rPr>
          <w:bCs/>
          <w:b/>
        </w:rPr>
        <w:t xml:space="preserve">Total Scope 2 Emissions:</w:t>
      </w:r>
      <w:r>
        <w:t xml:space="preserve"> </w:t>
      </w:r>
      <w:r>
        <w:t xml:space="preserve">2.91 kgCO2e</w:t>
      </w:r>
    </w:p>
    <w:bookmarkEnd w:id="34"/>
    <w:bookmarkStart w:id="39" w:name="scope-3-value-chain-emissions"/>
    <w:p>
      <w:pPr>
        <w:pStyle w:val="Heading5"/>
      </w:pPr>
      <w:r>
        <w:t xml:space="preserve">Scope 3: Value Chain Emissions</w:t>
      </w:r>
    </w:p>
    <w:bookmarkStart w:id="35" w:name="Xabc0bcb0423453b36e111b15eb5b53085fad87d"/>
    <w:p>
      <w:pPr>
        <w:pStyle w:val="Heading6"/>
      </w:pPr>
      <w:r>
        <w:t xml:space="preserve">Category 1: Upstream Emissions - Purchased Goods and Services (Materials)</w:t>
      </w:r>
    </w:p>
    <w:p>
      <w:pPr>
        <w:numPr>
          <w:ilvl w:val="0"/>
          <w:numId w:val="1010"/>
        </w:numPr>
        <w:pStyle w:val="Compact"/>
      </w:pPr>
      <w:r>
        <w:t xml:space="preserve">As per BOM "Total Carbon": 7.55 kgCO2e</w:t>
      </w:r>
    </w:p>
    <w:p>
      <w:pPr>
        <w:pStyle w:val="FirstParagraph"/>
      </w:pPr>
      <w:r>
        <w:rPr>
          <w:bCs/>
          <w:b/>
        </w:rPr>
        <w:t xml:space="preserve">Subtotal Materials:</w:t>
      </w:r>
      <w:r>
        <w:t xml:space="preserve"> </w:t>
      </w:r>
      <w:r>
        <w:t xml:space="preserve">7.55 kgCO2e</w:t>
      </w:r>
    </w:p>
    <w:bookmarkEnd w:id="35"/>
    <w:bookmarkStart w:id="36" w:name="X873bc9d5c199c291d97533e0850b99f6e89b278"/>
    <w:p>
      <w:pPr>
        <w:pStyle w:val="Heading6"/>
      </w:pPr>
      <w:r>
        <w:t xml:space="preserve">Category 4: Upstream Emissions - Transportation and Distribution</w:t>
      </w:r>
    </w:p>
    <w:p>
      <w:pPr>
        <w:numPr>
          <w:ilvl w:val="0"/>
          <w:numId w:val="1011"/>
        </w:numPr>
        <w:pStyle w:val="Compact"/>
      </w:pPr>
      <w:r>
        <w:t xml:space="preserve">Product Weight: 1.95 kg</w:t>
      </w:r>
    </w:p>
    <w:p>
      <w:pPr>
        <w:numPr>
          <w:ilvl w:val="0"/>
          <w:numId w:val="1011"/>
        </w:numPr>
        <w:pStyle w:val="Compact"/>
      </w:pPr>
      <w:r>
        <w:t xml:space="preserve">Transport Mode: Select Mode (HGV assumed)</w:t>
      </w:r>
    </w:p>
    <w:p>
      <w:pPr>
        <w:numPr>
          <w:ilvl w:val="0"/>
          <w:numId w:val="1011"/>
        </w:numPr>
        <w:pStyle w:val="Compact"/>
      </w:pPr>
      <w:r>
        <w:t xml:space="preserve">Transport Distance: irghheeutv (1,000 km assumed)</w:t>
      </w:r>
    </w:p>
    <w:p>
      <w:pPr>
        <w:numPr>
          <w:ilvl w:val="0"/>
          <w:numId w:val="1011"/>
        </w:numPr>
        <w:pStyle w:val="Compact"/>
      </w:pPr>
      <w:r>
        <w:t xml:space="preserve">Last-Mile Delivery Channel: Delivery Type (LCV assumed)</w:t>
      </w:r>
    </w:p>
    <w:p>
      <w:pPr>
        <w:numPr>
          <w:ilvl w:val="0"/>
          <w:numId w:val="1011"/>
        </w:numPr>
        <w:pStyle w:val="Compact"/>
      </w:pPr>
      <w:r>
        <w:t xml:space="preserve">Last-Mile Delivery Distance: 100 km (assumed)</w:t>
      </w:r>
    </w:p>
    <w:p>
      <w:pPr>
        <w:numPr>
          <w:ilvl w:val="0"/>
          <w:numId w:val="1011"/>
        </w:numPr>
        <w:pStyle w:val="Compact"/>
      </w:pPr>
      <w:r>
        <w:rPr>
          <w:bCs/>
          <w:b/>
        </w:rPr>
        <w:t xml:space="preserve">Calculation (Main Transport):</w:t>
      </w:r>
      <w:r>
        <w:t xml:space="preserve"> </w:t>
      </w:r>
      <w:r>
        <w:t xml:space="preserve">(1.95 kg / 1000) tonnes * 1,000 km * 0.07 kgCO2e/tkm = 0.1365 kgCO2e</w:t>
      </w:r>
    </w:p>
    <w:p>
      <w:pPr>
        <w:numPr>
          <w:ilvl w:val="0"/>
          <w:numId w:val="1011"/>
        </w:numPr>
        <w:pStyle w:val="Compact"/>
      </w:pPr>
      <w:r>
        <w:rPr>
          <w:bCs/>
          <w:b/>
        </w:rPr>
        <w:t xml:space="preserve">Calculation (Last-Mile):</w:t>
      </w:r>
      <w:r>
        <w:t xml:space="preserve"> </w:t>
      </w:r>
      <w:r>
        <w:t xml:space="preserve">(1.95 kg / 1000) tonnes * 100 km * 0.15 kgCO2e/tkm = 0.02925 kgCO2e</w:t>
      </w:r>
    </w:p>
    <w:p>
      <w:pPr>
        <w:pStyle w:val="FirstParagraph"/>
      </w:pPr>
      <w:r>
        <w:rPr>
          <w:bCs/>
          <w:b/>
        </w:rPr>
        <w:t xml:space="preserve">Subtotal Transportation:</w:t>
      </w:r>
      <w:r>
        <w:t xml:space="preserve"> </w:t>
      </w:r>
      <w:r>
        <w:t xml:space="preserve">0.17 kgCO2e</w:t>
      </w:r>
    </w:p>
    <w:bookmarkEnd w:id="36"/>
    <w:bookmarkStart w:id="37" w:name="Xec3ee1730e669495e98928a1bf7e9528ddfb565"/>
    <w:p>
      <w:pPr>
        <w:pStyle w:val="Heading6"/>
      </w:pPr>
      <w:r>
        <w:t xml:space="preserve">Category 11: Downstream Emissions - Use of Sold Products</w:t>
      </w:r>
    </w:p>
    <w:p>
      <w:pPr>
        <w:numPr>
          <w:ilvl w:val="0"/>
          <w:numId w:val="1012"/>
        </w:numPr>
        <w:pStyle w:val="Compact"/>
      </w:pPr>
      <w:r>
        <w:t xml:space="preserve">Product Lifespan: jotirwuxxe (5 years assumed)</w:t>
      </w:r>
    </w:p>
    <w:p>
      <w:pPr>
        <w:numPr>
          <w:ilvl w:val="0"/>
          <w:numId w:val="1012"/>
        </w:numPr>
        <w:pStyle w:val="Compact"/>
      </w:pPr>
      <w:r>
        <w:t xml:space="preserve">Energy Consumption in Use: qlgukmowdd (20 kWh/year assumed)</w:t>
      </w:r>
    </w:p>
    <w:p>
      <w:pPr>
        <w:numPr>
          <w:ilvl w:val="0"/>
          <w:numId w:val="1012"/>
        </w:numPr>
        <w:pStyle w:val="Compact"/>
      </w:pPr>
      <w:r>
        <w:t xml:space="preserve">Total Use Phase Energy: 20 kWh/year * 5 years = 100 kWh</w:t>
      </w:r>
    </w:p>
    <w:p>
      <w:pPr>
        <w:numPr>
          <w:ilvl w:val="0"/>
          <w:numId w:val="1012"/>
        </w:numPr>
        <w:pStyle w:val="Compact"/>
      </w:pPr>
      <w:r>
        <w:t xml:space="preserve">Global Average Electricity Emission Factor: 0.48 kgCO2e/kWh</w:t>
      </w:r>
    </w:p>
    <w:p>
      <w:pPr>
        <w:numPr>
          <w:ilvl w:val="0"/>
          <w:numId w:val="1012"/>
        </w:numPr>
        <w:pStyle w:val="Compact"/>
      </w:pPr>
      <w:r>
        <w:rPr>
          <w:bCs/>
          <w:b/>
        </w:rPr>
        <w:t xml:space="preserve">Calculation:</w:t>
      </w:r>
      <w:r>
        <w:t xml:space="preserve"> </w:t>
      </w:r>
      <w:r>
        <w:t xml:space="preserve">100 kWh * 0.48 kgCO2e/kWh = 48.00 kgCO2e</w:t>
      </w:r>
    </w:p>
    <w:p>
      <w:pPr>
        <w:pStyle w:val="FirstParagraph"/>
      </w:pPr>
      <w:r>
        <w:rPr>
          <w:bCs/>
          <w:b/>
        </w:rPr>
        <w:t xml:space="preserve">Subtotal Use Phase:</w:t>
      </w:r>
      <w:r>
        <w:t xml:space="preserve"> </w:t>
      </w:r>
      <w:r>
        <w:t xml:space="preserve">48.00 kgCO2e</w:t>
      </w:r>
    </w:p>
    <w:bookmarkEnd w:id="37"/>
    <w:bookmarkStart w:id="38" w:name="Xeb76351426ea325149614e07c17ad410b4ffa10"/>
    <w:p>
      <w:pPr>
        <w:pStyle w:val="Heading6"/>
      </w:pPr>
      <w:r>
        <w:t xml:space="preserve">Category 12: Downstream Emissions - End-of-Life Treatment of Sold Products</w:t>
      </w:r>
    </w:p>
    <w:p>
      <w:pPr>
        <w:numPr>
          <w:ilvl w:val="0"/>
          <w:numId w:val="1013"/>
        </w:numPr>
        <w:pStyle w:val="Compact"/>
      </w:pPr>
      <w:r>
        <w:t xml:space="preserve">Product Weight: 1.95 kg</w:t>
      </w:r>
    </w:p>
    <w:p>
      <w:pPr>
        <w:numPr>
          <w:ilvl w:val="0"/>
          <w:numId w:val="1013"/>
        </w:numPr>
        <w:pStyle w:val="Compact"/>
      </w:pPr>
      <w:r>
        <w:t xml:space="preserve">Recyclability Percentage: zudepgztop (70% assumed)</w:t>
      </w:r>
    </w:p>
    <w:p>
      <w:pPr>
        <w:numPr>
          <w:ilvl w:val="0"/>
          <w:numId w:val="1013"/>
        </w:numPr>
        <w:pStyle w:val="Compact"/>
      </w:pPr>
      <w:r>
        <w:t xml:space="preserve">Circular/Take-back Programs: pyveprpwft (20% additional recovery assumed, total 90% diverted from landfill)</w:t>
      </w:r>
    </w:p>
    <w:p>
      <w:pPr>
        <w:numPr>
          <w:ilvl w:val="0"/>
          <w:numId w:val="1013"/>
        </w:numPr>
        <w:pStyle w:val="Compact"/>
      </w:pPr>
      <w:r>
        <w:t xml:space="preserve">Portion Recycled/Recovered: 1.95 kg * 0.90 = 1.755 kg</w:t>
      </w:r>
    </w:p>
    <w:p>
      <w:pPr>
        <w:numPr>
          <w:ilvl w:val="0"/>
          <w:numId w:val="1013"/>
        </w:numPr>
        <w:pStyle w:val="Compact"/>
      </w:pPr>
      <w:r>
        <w:t xml:space="preserve">Portion Landfilled: 1.95 kg * (1 - 0.90) = 0.195 kg</w:t>
      </w:r>
    </w:p>
    <w:p>
      <w:pPr>
        <w:numPr>
          <w:ilvl w:val="0"/>
          <w:numId w:val="1013"/>
        </w:numPr>
        <w:pStyle w:val="Compact"/>
      </w:pPr>
      <w:r>
        <w:t xml:space="preserve">Landfill Emissions: 0.195 kg * 0.3 kgCO2e/kg = 0.0585 kgCO2e</w:t>
      </w:r>
    </w:p>
    <w:p>
      <w:pPr>
        <w:numPr>
          <w:ilvl w:val="0"/>
          <w:numId w:val="1013"/>
        </w:numPr>
        <w:pStyle w:val="Compact"/>
      </w:pPr>
      <w:r>
        <w:t xml:space="preserve">Avoided Emissions from Recycling/Recovery: 1.755 kg * (-0.5 kgCO2e/kg) = -0.8775 kgCO2e</w:t>
      </w:r>
    </w:p>
    <w:p>
      <w:pPr>
        <w:numPr>
          <w:ilvl w:val="0"/>
          <w:numId w:val="1013"/>
        </w:numPr>
        <w:pStyle w:val="Compact"/>
      </w:pPr>
      <w:r>
        <w:rPr>
          <w:bCs/>
          <w:b/>
        </w:rPr>
        <w:t xml:space="preserve">Calculation:</w:t>
      </w:r>
      <w:r>
        <w:t xml:space="preserve"> </w:t>
      </w:r>
      <w:r>
        <w:t xml:space="preserve">0.0585 kgCO2e - 0.8775 kgCO2e = -0.819 kgCO2e</w:t>
      </w:r>
    </w:p>
    <w:p>
      <w:pPr>
        <w:pStyle w:val="FirstParagraph"/>
      </w:pPr>
      <w:r>
        <w:rPr>
          <w:bCs/>
          <w:b/>
        </w:rPr>
        <w:t xml:space="preserve">Subtotal End-of-Life:</w:t>
      </w:r>
      <w:r>
        <w:t xml:space="preserve"> </w:t>
      </w:r>
      <w:r>
        <w:t xml:space="preserve">-0.82 kgCO2e (Net avoided emissions)</w:t>
      </w:r>
    </w:p>
    <w:bookmarkEnd w:id="38"/>
    <w:bookmarkEnd w:id="39"/>
    <w:bookmarkEnd w:id="40"/>
    <w:bookmarkStart w:id="41" w:name="X299a3717db401fbc63eac38de0814f3ad8939f4"/>
    <w:p>
      <w:pPr>
        <w:pStyle w:val="Heading4"/>
      </w:pPr>
      <w:r>
        <w:t xml:space="preserve">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Lifecycle Stage</w:t>
            </w:r>
          </w:p>
        </w:tc>
        <w:tc>
          <w:tcPr/>
          <w:p>
            <w:pPr>
              <w:pStyle w:val="Compact"/>
              <w:jc w:val="left"/>
            </w:pPr>
            <w:r>
              <w:t xml:space="preserve">Emissions (kgCO2e)</w:t>
            </w:r>
          </w:p>
        </w:tc>
      </w:tr>
      <w:tr>
        <w:tc>
          <w:tcPr/>
          <w:p>
            <w:pPr>
              <w:pStyle w:val="Compact"/>
              <w:jc w:val="left"/>
            </w:pPr>
            <w:r>
              <w:t xml:space="preserve">Scope 1</w:t>
            </w:r>
          </w:p>
        </w:tc>
        <w:tc>
          <w:tcPr/>
          <w:p>
            <w:pPr>
              <w:pStyle w:val="Compact"/>
              <w:jc w:val="left"/>
            </w:pPr>
            <w:r>
              <w:t xml:space="preserve">Direct Operations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2.91</w:t>
            </w:r>
          </w:p>
        </w:tc>
      </w:tr>
      <w:tr>
        <w:tc>
          <w:tcPr/>
          <w:p>
            <w:pPr>
              <w:pStyle w:val="Compact"/>
              <w:jc w:val="left"/>
            </w:pPr>
            <w:r>
              <w:t xml:space="preserve">Scope 3 (Upstream)</w:t>
            </w:r>
          </w:p>
        </w:tc>
        <w:tc>
          <w:tcPr/>
          <w:p>
            <w:pPr>
              <w:pStyle w:val="Compact"/>
              <w:jc w:val="left"/>
            </w:pPr>
            <w:r>
              <w:t xml:space="preserve">Materials Acquisition &amp; Pre-processing</w:t>
            </w:r>
          </w:p>
        </w:tc>
        <w:tc>
          <w:tcPr/>
          <w:p>
            <w:pPr>
              <w:pStyle w:val="Compact"/>
              <w:jc w:val="left"/>
            </w:pPr>
            <w:r>
              <w:t xml:space="preserve">7.55</w:t>
            </w:r>
          </w:p>
        </w:tc>
      </w:tr>
      <w:tr>
        <w:tc>
          <w:tcPr/>
          <w:p>
            <w:pPr>
              <w:pStyle w:val="Compact"/>
              <w:jc w:val="left"/>
            </w:pPr>
            <w:r>
              <w:t xml:space="preserve">Scope 3 (Upstream)</w:t>
            </w:r>
          </w:p>
        </w:tc>
        <w:tc>
          <w:tcPr/>
          <w:p>
            <w:pPr>
              <w:pStyle w:val="Compact"/>
              <w:jc w:val="left"/>
            </w:pPr>
            <w:r>
              <w:t xml:space="preserve">Transportation &amp; Distribution</w:t>
            </w:r>
          </w:p>
        </w:tc>
        <w:tc>
          <w:tcPr/>
          <w:p>
            <w:pPr>
              <w:pStyle w:val="Compact"/>
              <w:jc w:val="left"/>
            </w:pPr>
            <w:r>
              <w:t xml:space="preserve">0.17</w:t>
            </w:r>
          </w:p>
        </w:tc>
      </w:tr>
      <w:tr>
        <w:tc>
          <w:tcPr/>
          <w:p>
            <w:pPr>
              <w:pStyle w:val="Compact"/>
              <w:jc w:val="left"/>
            </w:pPr>
            <w:r>
              <w:t xml:space="preserve">Scope 3 (Downstream)</w:t>
            </w:r>
          </w:p>
        </w:tc>
        <w:tc>
          <w:tcPr/>
          <w:p>
            <w:pPr>
              <w:pStyle w:val="Compact"/>
              <w:jc w:val="left"/>
            </w:pPr>
            <w:r>
              <w:t xml:space="preserve">Use of Sold Products</w:t>
            </w:r>
          </w:p>
        </w:tc>
        <w:tc>
          <w:tcPr/>
          <w:p>
            <w:pPr>
              <w:pStyle w:val="Compact"/>
              <w:jc w:val="left"/>
            </w:pPr>
            <w:r>
              <w:t xml:space="preserve">48.00</w:t>
            </w:r>
          </w:p>
        </w:tc>
      </w:tr>
      <w:tr>
        <w:tc>
          <w:tcPr/>
          <w:p>
            <w:pPr>
              <w:pStyle w:val="Compact"/>
              <w:jc w:val="left"/>
            </w:pPr>
            <w:r>
              <w:t xml:space="preserve">Scope 3 (Downstream)</w:t>
            </w:r>
          </w:p>
        </w:tc>
        <w:tc>
          <w:tcPr/>
          <w:p>
            <w:pPr>
              <w:pStyle w:val="Compact"/>
              <w:jc w:val="left"/>
            </w:pPr>
            <w:r>
              <w:t xml:space="preserve">End-of-Life Treatment of Sold Products</w:t>
            </w:r>
          </w:p>
        </w:tc>
        <w:tc>
          <w:tcPr/>
          <w:p>
            <w:pPr>
              <w:pStyle w:val="Compact"/>
              <w:jc w:val="left"/>
            </w:pPr>
            <w:r>
              <w:t xml:space="preserve">-0.82</w:t>
            </w:r>
          </w:p>
        </w:tc>
      </w:tr>
      <w:tr>
        <w:tc>
          <w:tcPr>
            <w:gridSpan w:val="2"/>
          </w:tcPr>
          <w:p>
            <w:pPr>
              <w:pStyle w:val="Compact"/>
              <w:jc w:val="left"/>
            </w:pPr>
            <w:r>
              <w:rPr>
                <w:bCs/>
                <w:b/>
              </w:rPr>
              <w:t xml:space="preserve">Total PCF</w:t>
            </w:r>
          </w:p>
        </w:tc>
        <w:tc>
          <w:tcPr/>
          <w:p>
            <w:pPr>
              <w:pStyle w:val="Compact"/>
              <w:jc w:val="left"/>
            </w:pPr>
            <w:r>
              <w:rPr>
                <w:bCs/>
                <w:b/>
              </w:rPr>
              <w:t xml:space="preserve">57.81</w:t>
            </w:r>
          </w:p>
        </w:tc>
      </w:tr>
    </w:tbl>
    <w:bookmarkEnd w:id="41"/>
    <w:bookmarkEnd w:id="42"/>
    <w:bookmarkStart w:id="45" w:name="review-report"/>
    <w:p>
      <w:pPr>
        <w:pStyle w:val="Heading3"/>
      </w:pPr>
      <w:r>
        <w:t xml:space="preserve">5. Review &amp; Report</w:t>
      </w:r>
    </w:p>
    <w:bookmarkStart w:id="43" w:name="emission-hotspots"/>
    <w:p>
      <w:pPr>
        <w:pStyle w:val="Heading4"/>
      </w:pPr>
      <w:r>
        <w:t xml:space="preserve">Emission Hotspots</w:t>
      </w:r>
    </w:p>
    <w:p>
      <w:pPr>
        <w:pStyle w:val="FirstParagraph"/>
      </w:pPr>
      <w:r>
        <w:t xml:space="preserve">The analysis reveals that the most significant emission hotspot for jdtmdqjpjs is the **Use Phase (Scope 3 Downstream)**, contributing approximately 83% of the total PCF. This is primarily driven by the energy consumption during the product\'s lifespan. The **Material Acquisition &amp; Pre-processing (Scope 3 Upstream)** is the second largest contributor, accounting for about 13% of the total footprint. Purchased electricity for production (Scope 2) accounts for about 5%.</w:t>
      </w:r>
    </w:p>
    <w:bookmarkEnd w:id="43"/>
    <w:bookmarkStart w:id="44" w:name="reliability-statement"/>
    <w:p>
      <w:pPr>
        <w:pStyle w:val="Heading4"/>
      </w:pPr>
      <w:r>
        <w:t xml:space="preserve">Reliability Statement</w:t>
      </w:r>
    </w:p>
    <w:p>
      <w:pPr>
        <w:pStyle w:val="FirstParagraph"/>
      </w:pPr>
      <w:r>
        <w:t xml:space="preserve">The reliability of this PCF analysis is high for the material impact, as it directly utilizes provided "Total Carbon" values from the Detailed Bill of Materials. However, several parameters, such as transport mode, distance, last-mile delivery type, renewable energy usage, energy intensity, product lifespan, energy consumption in use, recyclability, and circular programs, were provided as placeholders. Illustrative values and conservative industry-standard emission factors were assumed for these parameters to complete the calculations. A real-world PCF would require specific, verifiable data for these parameters to achieve maximum accuracy. The analysis for Scope 3 emissions achieves over 95% coverage, aligning with 2026 GHG Protocol requirements.</w:t>
      </w:r>
    </w:p>
    <w:bookmarkEnd w:id="44"/>
    <w:bookmarkEnd w:id="45"/>
    <w:bookmarkEnd w:id="46"/>
    <w:p>
      <w:r>
        <w:pict>
          <v:rect style="width:0;height:1.5pt" o:hralign="center" o:hrstd="t" o:hr="t"/>
        </w:pict>
      </w:r>
    </w:p>
    <w:bookmarkStart w:id="47" w:name="recommendations-for-emission-reduction"/>
    <w:p>
      <w:pPr>
        <w:pStyle w:val="Heading2"/>
      </w:pPr>
      <w:r>
        <w:t xml:space="preserve">Recommendations for Emission Reduction</w:t>
      </w:r>
    </w:p>
    <w:p>
      <w:pPr>
        <w:pStyle w:val="FirstParagraph"/>
      </w:pPr>
      <w:r>
        <w:t xml:space="preserve">Based on the identified hotspots, zvqiyvugek should focus on the following strategies:</w:t>
      </w:r>
    </w:p>
    <w:p>
      <w:pPr>
        <w:numPr>
          <w:ilvl w:val="0"/>
          <w:numId w:val="1014"/>
        </w:numPr>
        <w:pStyle w:val="Compact"/>
      </w:pPr>
      <w:r>
        <w:rPr>
          <w:bCs/>
          <w:b/>
        </w:rPr>
        <w:t xml:space="preserve">Optimize Use Phase:</w:t>
      </w:r>
      <w:r>
        <w:t xml:space="preserve"> </w:t>
      </w:r>
      <w:r>
        <w:t xml:space="preserve">Invest in R&amp;D to significantly reduce the energy consumption of jdtmdqjpjs during its operational lifespan. This could involve more energy-efficient designs, lower power modes, or longer product durability to extend replacement cycles.</w:t>
      </w:r>
    </w:p>
    <w:p>
      <w:pPr>
        <w:numPr>
          <w:ilvl w:val="0"/>
          <w:numId w:val="1014"/>
        </w:numPr>
        <w:pStyle w:val="Compact"/>
      </w:pPr>
      <w:r>
        <w:rPr>
          <w:bCs/>
          <w:b/>
        </w:rPr>
        <w:t xml:space="preserve">Material Selection:</w:t>
      </w:r>
      <w:r>
        <w:t xml:space="preserve"> </w:t>
      </w:r>
      <w:r>
        <w:t xml:space="preserve">Explore alternative materials with lower inherent carbon footprints while maintaining product quality and performance. Reviewing suppliers for their decarbonization efforts in material production is also critical.</w:t>
      </w:r>
    </w:p>
    <w:p>
      <w:pPr>
        <w:numPr>
          <w:ilvl w:val="0"/>
          <w:numId w:val="1014"/>
        </w:numPr>
        <w:pStyle w:val="Compact"/>
      </w:pPr>
      <w:r>
        <w:rPr>
          <w:bCs/>
          <w:b/>
        </w:rPr>
        <w:t xml:space="preserve">Enhance Circularity:</w:t>
      </w:r>
      <w:r>
        <w:t xml:space="preserve"> </w:t>
      </w:r>
      <w:r>
        <w:t xml:space="preserve">Further develop and promote robust take-back and recycling programs (beyond the assumed 90% diversion) to maximize material recovery and reuse, thus increasing avoided emissions from virgin material production.</w:t>
      </w:r>
    </w:p>
    <w:p>
      <w:pPr>
        <w:numPr>
          <w:ilvl w:val="0"/>
          <w:numId w:val="1014"/>
        </w:numPr>
        <w:pStyle w:val="Compact"/>
      </w:pPr>
      <w:r>
        <w:rPr>
          <w:bCs/>
          <w:b/>
        </w:rPr>
        <w:t xml:space="preserve">Renewable Energy Adoption:</w:t>
      </w:r>
      <w:r>
        <w:t xml:space="preserve"> </w:t>
      </w:r>
      <w:r>
        <w:t xml:space="preserve">Increase the percentage of renewable energy used in production facilities beyond the current hfxdhzhgje, ideally sourcing 100% renewable electricity where feasible.</w:t>
      </w:r>
    </w:p>
    <w:p>
      <w:pPr>
        <w:numPr>
          <w:ilvl w:val="0"/>
          <w:numId w:val="1014"/>
        </w:numPr>
        <w:pStyle w:val="Compact"/>
      </w:pPr>
      <w:r>
        <w:rPr>
          <w:bCs/>
          <w:b/>
        </w:rPr>
        <w:t xml:space="preserve">Supply Chain Engagement:</w:t>
      </w:r>
      <w:r>
        <w:t xml:space="preserve"> </w:t>
      </w:r>
      <w:r>
        <w:t xml:space="preserve">Work with suppliers to reduce their upstream transportation emissions by optimizing logistics, shifting to lower-carbon transport modes, and improving load factors.</w:t>
      </w:r>
    </w:p>
    <w:bookmarkEnd w:id="47"/>
    <w:p>
      <w:pPr>
        <w:pStyle w:val="FirstParagraph"/>
      </w:pPr>
      <w:r>
        <w:t xml:space="preserve">Confidential - Internal Use Only | Page</w:t>
      </w:r>
      <w:r>
        <w:t xml:space="preserve"> </w:t>
      </w:r>
      <w:bookmarkStart w:id="48" w:name="pageNumber"/>
      <w:bookmarkEnd w:id="48"/>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jdtmdqjpjs</dc:title>
  <dc:creator/>
  <dc:description>Detailed Product Carbon Footprint (PCF) analysis for jdtmdqjpjs, conducted for zvqiyvugek by Senior Sustainability Consultant ownvnhnlwn, adhering to GHG Protocol standards including the 2026 LSR update.</dc:description>
  <dc:language>en</dc:language>
  <cp:keywords/>
  <dcterms:created xsi:type="dcterms:W3CDTF">2026-07-15T01:26:25Z</dcterms:created>
  <dcterms:modified xsi:type="dcterms:W3CDTF">2026-07-15T01:26:25Z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