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jddkkkusem</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jddkkkusem</w:t>
      </w:r>
    </w:p>
    <w:p>
      <w:pPr>
        <w:pStyle w:val="BodyText"/>
      </w:pPr>
      <w:r>
        <w:rPr>
          <w:bCs/>
          <w:b/>
        </w:rPr>
        <w:t xml:space="preserve">Company Name:</w:t>
      </w:r>
      <w:r>
        <w:t xml:space="preserve"> </w:t>
      </w:r>
      <w:r>
        <w:t xml:space="preserve">wwnoxpojso</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eoypwtydns</w:t>
      </w:r>
    </w:p>
    <w:p>
      <w:pPr>
        <w:pStyle w:val="BodyText"/>
      </w:pPr>
      <w:r>
        <w:t xml:space="preserve">Disclaimer: This report is generated based on available data and industry standards. Actual emissions may vary based on real-world conditions and more specific primary data. All data used for calculations where specific values were not provided are illustrative examples.</w:t>
      </w:r>
    </w:p>
    <w:bookmarkEnd w:id="20"/>
    <w:p>
      <w:r>
        <w:pict>
          <v:rect style="width:0;height:1.5pt" o:hralign="center" o:hrstd="t" o:hr="t"/>
        </w:pict>
      </w:r>
    </w:p>
    <w:bookmarkStart w:id="44" w:name="executive-summary"/>
    <w:p>
      <w:pPr>
        <w:pStyle w:val="Heading1"/>
      </w:pPr>
      <w:r>
        <w:t xml:space="preserve">Executive Summary</w:t>
      </w:r>
    </w:p>
    <w:p>
      <w:pPr>
        <w:pStyle w:val="FirstParagraph"/>
      </w:pPr>
      <w:r>
        <w:t xml:space="preserve">This report presents a high-detail Product Carbon Footprint (PCF) analysis for the product jddkkkusem, manufactured by wwnoxpojso. The analysis adheres strictly to the GHG Protocol Product Life Cycle Accounting and Reporting Standard, incorporating the latest 2026 updates including the Land Sector and Removals (LSR) Standard and the enhanced Scope 3 reporting requirements for 95% coverage. As Senior Sustainability Consultant, eoypwtydns has overseen this assessment, which aims to identify greenhouse gas (GHG) emission hotspots across the product\'s lifecycle from a factory-gate perspective, with a focus on a Europe-centric supply chain for a product manufactured in China.</w:t>
      </w:r>
    </w:p>
    <w:p>
      <w:pPr>
        <w:pStyle w:val="BodyText"/>
      </w:pPr>
      <w:r>
        <w:t xml:space="preserve">The assessment provides a comprehensive breakdown of emissions, categorizing them into Scope 1, Scope 2, and Scope 3 according to GHG Protocol guidelines. Material inputs, energy consumption during production and use, transportation, and end-of-life scenarios are all considered to provide a holistic view of the product\'s environmental impact. The findings within this report serve as a critical baseline for wwnoxpojso to identify opportunities for emissions reduction, optimize product design, and enhance overall supply chain sustainability.</w:t>
      </w:r>
    </w:p>
    <w:p>
      <w:r>
        <w:pict>
          <v:rect style="width:0;height:1.5pt" o:hralign="center" o:hrstd="t" o:hr="t"/>
        </w:pict>
      </w:r>
    </w:p>
    <w:bookmarkStart w:id="26" w:name="define-scope"/>
    <w:p>
      <w:pPr>
        <w:pStyle w:val="Heading2"/>
      </w:pPr>
      <w:r>
        <w:t xml:space="preserve">1. Define Scope</w:t>
      </w:r>
    </w:p>
    <w:bookmarkStart w:id="21" w:name="functional-unit"/>
    <w:p>
      <w:pPr>
        <w:pStyle w:val="Heading3"/>
      </w:pPr>
      <w:r>
        <w:t xml:space="preserve">1.1 Functional Unit</w:t>
      </w:r>
    </w:p>
    <w:p>
      <w:pPr>
        <w:pStyle w:val="FirstParagraph"/>
      </w:pPr>
      <w:r>
        <w:t xml:space="preserve">The functional unit for this Product Carbon Footprint analysis is defined as</w:t>
      </w:r>
      <w:r>
        <w:t xml:space="preserve"> </w:t>
      </w:r>
      <w:r>
        <w:rPr>
          <w:bCs/>
          <w:b/>
        </w:rPr>
        <w:t xml:space="preserve">1.0 unit of jddkkkusem</w:t>
      </w:r>
      <w:r>
        <w:t xml:space="preserve">. This unit serves as the reference basis for quantifying all relevant inputs and outputs throughout the product\'s lifecycle, ensuring comparability and consistency in the assessment.</w:t>
      </w:r>
    </w:p>
    <w:bookmarkEnd w:id="21"/>
    <w:bookmarkStart w:id="22" w:name="system-boundary"/>
    <w:p>
      <w:pPr>
        <w:pStyle w:val="Heading3"/>
      </w:pPr>
      <w:r>
        <w:t xml:space="preserve">1.2 System Boundary</w:t>
      </w:r>
    </w:p>
    <w:p>
      <w:pPr>
        <w:pStyle w:val="FirstParagraph"/>
      </w:pPr>
      <w:r>
        <w:t xml:space="preserve">The system boundary for this PCF is **"factory_gate"**. This means the analysis includes all GHG emissions associated with the product from raw material extraction and processing (cradle) up to the point where the finished product leaves the manufacturing facility (gate). It encompasses emissions from:</w:t>
      </w:r>
    </w:p>
    <w:p>
      <w:pPr>
        <w:numPr>
          <w:ilvl w:val="0"/>
          <w:numId w:val="1001"/>
        </w:numPr>
        <w:pStyle w:val="Compact"/>
      </w:pPr>
      <w:r>
        <w:t xml:space="preserve">Raw material acquisition and pre-processing.</w:t>
      </w:r>
    </w:p>
    <w:p>
      <w:pPr>
        <w:numPr>
          <w:ilvl w:val="0"/>
          <w:numId w:val="1001"/>
        </w:numPr>
        <w:pStyle w:val="Compact"/>
      </w:pPr>
      <w:r>
        <w:t xml:space="preserve">Manufacturing of component parts.</w:t>
      </w:r>
    </w:p>
    <w:p>
      <w:pPr>
        <w:numPr>
          <w:ilvl w:val="0"/>
          <w:numId w:val="1001"/>
        </w:numPr>
        <w:pStyle w:val="Compact"/>
      </w:pPr>
      <w:r>
        <w:t xml:space="preserve">Transportation of materials and components to the final production factory.</w:t>
      </w:r>
    </w:p>
    <w:p>
      <w:pPr>
        <w:numPr>
          <w:ilvl w:val="0"/>
          <w:numId w:val="1001"/>
        </w:numPr>
        <w:pStyle w:val="Compact"/>
      </w:pPr>
      <w:r>
        <w:t xml:space="preserve">Assembly and final production processes within the factory.</w:t>
      </w:r>
    </w:p>
    <w:p>
      <w:pPr>
        <w:numPr>
          <w:ilvl w:val="0"/>
          <w:numId w:val="1001"/>
        </w:numPr>
        <w:pStyle w:val="Compact"/>
      </w:pPr>
      <w:r>
        <w:t xml:space="preserve">Associated energy consumption at the factory.</w:t>
      </w:r>
    </w:p>
    <w:p>
      <w:pPr>
        <w:pStyle w:val="FirstParagraph"/>
      </w:pPr>
      <w:r>
        <w:t xml:space="preserve">Emissions beyond the factory gate, such as distribution to the customer, product use phase, and end-of-life treatment, are excluded from the primary "factory_gate" boundary for the overall PCF sum. However, for a complete lifecycle understanding and to meet enhanced Scope 3 reporting, these stages are analyzed and reported as distinct Scope 3 categories, allowing for a more granular understanding of the total value chain impact.</w:t>
      </w:r>
    </w:p>
    <w:bookmarkEnd w:id="22"/>
    <w:bookmarkStart w:id="23" w:name="geographic-scope"/>
    <w:p>
      <w:pPr>
        <w:pStyle w:val="Heading3"/>
      </w:pPr>
      <w:r>
        <w:t xml:space="preserve">1.3 Geographic Scope</w:t>
      </w:r>
    </w:p>
    <w:p>
      <w:pPr>
        <w:pStyle w:val="FirstParagraph"/>
      </w:pPr>
      <w:r>
        <w:t xml:space="preserve">The geographic scope of this assessment is defined by:</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w:t>
      </w:r>
    </w:p>
    <w:p>
      <w:pPr>
        <w:pStyle w:val="FirstParagraph"/>
      </w:pPr>
      <w:r>
        <w:t xml:space="preserve">This dual focus means that while the final assembly and manufacturing occur in China, a significant portion of upstream materials and components are sourced from or transported via Europe. Emission factors and energy grid mixes will be selected to reflect these specific geographical contexts where applicable, especially for electricity consumption in China and transportation routes to Europe.</w:t>
      </w:r>
    </w:p>
    <w:bookmarkEnd w:id="23"/>
    <w:bookmarkStart w:id="24" w:name="allocation"/>
    <w:p>
      <w:pPr>
        <w:pStyle w:val="Heading3"/>
      </w:pPr>
      <w:r>
        <w:t xml:space="preserve">1.4 Allocation</w:t>
      </w:r>
    </w:p>
    <w:p>
      <w:pPr>
        <w:pStyle w:val="FirstParagraph"/>
      </w:pPr>
      <w:r>
        <w:t xml:space="preserve">Emissions are allocated directly to the functional unit (1.0 unit of jddkkkusem). For processes that yield multiple co-products, allocation is performed based on mass or economic value where appropriate and justifiable. For recycled content and end-of-life scenarios, the "cut-off" approach is primarily used, where the burden of recycling is borne by the system that produces the recycled material, and the use of recycled content avoids virgin material production. Circularity aspects are integrated as described in the End-of-Life section.</w:t>
      </w:r>
    </w:p>
    <w:bookmarkEnd w:id="24"/>
    <w:bookmarkStart w:id="25" w:name="accounting-standard"/>
    <w:p>
      <w:pPr>
        <w:pStyle w:val="Heading3"/>
      </w:pPr>
      <w:r>
        <w:t xml:space="preserve">1.5 Accounting Standard</w:t>
      </w:r>
    </w:p>
    <w:p>
      <w:pPr>
        <w:pStyle w:val="FirstParagraph"/>
      </w:pPr>
      <w:r>
        <w:t xml:space="preserve">This Product Carbon Footprint analysis is conducted in strict accordance with the **GHG Protocol Product Life Cycle Accounting and Reporting Standard**. This standard provides a globally consistent framework for measuring the greenhouse gases associated with the full lifecycle of products, including raw materials, manufacturing, transportation, storage, use, and disposal.</w:t>
      </w:r>
    </w:p>
    <w:p>
      <w:r>
        <w:pict>
          <v:rect style="width:0;height:1.5pt" o:hralign="center" o:hrstd="t" o:hr="t"/>
        </w:pict>
      </w:r>
    </w:p>
    <w:bookmarkEnd w:id="25"/>
    <w:bookmarkEnd w:id="26"/>
    <w:bookmarkStart w:id="33" w:name="X668a29dea6996859d52024a913312988ccfa3c9"/>
    <w:p>
      <w:pPr>
        <w:pStyle w:val="Heading2"/>
      </w:pPr>
      <w:r>
        <w:t xml:space="preserve">2. Map Lifecycle (LCI Inventory Stages) &amp; 3. Collect Data</w:t>
      </w:r>
    </w:p>
    <w:p>
      <w:pPr>
        <w:pStyle w:val="FirstParagraph"/>
      </w:pPr>
      <w:r>
        <w:t xml:space="preserve">The lifecycle of jddkkkusem is mapped into distinct stages to ensure a comprehensive inventory of all relevant inputs and outputs. Data collection integrates both primary data (where provided) and secondary data from reputable databases such as Ecoinvent and DEFRA for emission factors.</w:t>
      </w:r>
    </w:p>
    <w:bookmarkStart w:id="27" w:name="X5fba48d7b85b1fc1d0080a72f3bcf6c0594fa3b"/>
    <w:p>
      <w:pPr>
        <w:pStyle w:val="Heading3"/>
      </w:pPr>
      <w:r>
        <w:t xml:space="preserve">2.1 Material Acquisition &amp; Pre-processing (Scope 3, Category 1: Purchased Goods and Services)</w:t>
      </w:r>
    </w:p>
    <w:p>
      <w:pPr>
        <w:pStyle w:val="FirstParagraph"/>
      </w:pPr>
      <w:r>
        <w:t xml:space="preserve">This stage covers the extraction of raw materials, their processing into intermediate materials, and the manufacturing of component parts. The detailed Bill of Materials (BOM) for jddkkkusem (oholegqx) is crucial for an accurate assessment. Given that \'oholegqx\' is a placeholder, an illustrative BOM is presented below to demonstrate the data structure and how such detailed information would be integrated into the calculations. For actual calculations, the precise "Emission Factor" and "Total Carbon" from the provided BOM would be utilized.</w:t>
      </w:r>
    </w:p>
    <w:p>
      <w:pPr>
        <w:pStyle w:val="BodyText"/>
      </w:pPr>
      <w:r>
        <w:t xml:space="preserve">**Illustrative Detailed Bill of Materials (BOM) for jddkkkusem**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 Casing</w:t>
            </w:r>
          </w:p>
        </w:tc>
        <w:tc>
          <w:tcPr/>
          <w:p>
            <w:pPr>
              <w:pStyle w:val="Compact"/>
              <w:jc w:val="left"/>
            </w:pPr>
            <w:r>
              <w:t xml:space="preserve">Metals</w:t>
            </w:r>
          </w:p>
        </w:tc>
        <w:tc>
          <w:tcPr/>
          <w:p>
            <w:pPr>
              <w:pStyle w:val="Compact"/>
              <w:jc w:val="left"/>
            </w:pPr>
            <w:r>
              <w:t xml:space="preserve">Primary Production, Smelting, Forming (Europe Focused)</w:t>
            </w:r>
          </w:p>
        </w:tc>
        <w:tc>
          <w:tcPr/>
          <w:p>
            <w:pPr>
              <w:pStyle w:val="Compact"/>
              <w:jc w:val="left"/>
            </w:pPr>
            <w:r>
              <w:t xml:space="preserve">0.5</w:t>
            </w:r>
          </w:p>
        </w:tc>
        <w:tc>
          <w:tcPr/>
          <w:p>
            <w:pPr>
              <w:pStyle w:val="Compact"/>
              <w:jc w:val="left"/>
            </w:pPr>
            <w:r>
              <w:t xml:space="preserve">kg</w:t>
            </w:r>
          </w:p>
        </w:tc>
        <w:tc>
          <w:tcPr/>
          <w:p>
            <w:pPr>
              <w:pStyle w:val="Compact"/>
              <w:jc w:val="left"/>
            </w:pPr>
            <w:r>
              <w:t xml:space="preserve">8.00</w:t>
            </w:r>
          </w:p>
        </w:tc>
        <w:tc>
          <w:tcPr/>
          <w:p>
            <w:pPr>
              <w:pStyle w:val="Compact"/>
              <w:jc w:val="left"/>
            </w:pPr>
            <w:r>
              <w:t xml:space="preserve">4.00</w:t>
            </w:r>
          </w:p>
        </w:tc>
      </w:tr>
      <w:tr>
        <w:tc>
          <w:tcPr/>
          <w:p>
            <w:pPr>
              <w:pStyle w:val="Compact"/>
              <w:jc w:val="left"/>
            </w:pPr>
            <w:r>
              <w:t xml:space="preserve">M002</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 (China)</w:t>
            </w:r>
          </w:p>
        </w:tc>
        <w:tc>
          <w:tcPr/>
          <w:p>
            <w:pPr>
              <w:pStyle w:val="Compact"/>
              <w:jc w:val="left"/>
            </w:pPr>
            <w:r>
              <w:t xml:space="preserve">1.0</w:t>
            </w:r>
          </w:p>
        </w:tc>
        <w:tc>
          <w:tcPr/>
          <w:p>
            <w:pPr>
              <w:pStyle w:val="Compact"/>
              <w:jc w:val="left"/>
            </w:pPr>
            <w:r>
              <w:t xml:space="preserve">unit</w:t>
            </w:r>
          </w:p>
        </w:tc>
        <w:tc>
          <w:tcPr/>
          <w:p>
            <w:pPr>
              <w:pStyle w:val="Compact"/>
              <w:jc w:val="left"/>
            </w:pPr>
            <w:r>
              <w:t xml:space="preserve">3.50</w:t>
            </w:r>
          </w:p>
        </w:tc>
        <w:tc>
          <w:tcPr/>
          <w:p>
            <w:pPr>
              <w:pStyle w:val="Compact"/>
              <w:jc w:val="left"/>
            </w:pPr>
            <w:r>
              <w:t xml:space="preserve">3.50</w:t>
            </w:r>
          </w:p>
        </w:tc>
      </w:tr>
      <w:tr>
        <w:tc>
          <w:tcPr/>
          <w:p>
            <w:pPr>
              <w:pStyle w:val="Compact"/>
              <w:jc w:val="left"/>
            </w:pPr>
            <w:r>
              <w:t xml:space="preserve">M003</w:t>
            </w:r>
          </w:p>
        </w:tc>
        <w:tc>
          <w:tcPr/>
          <w:p>
            <w:pPr>
              <w:pStyle w:val="Compact"/>
              <w:jc w:val="left"/>
            </w:pPr>
            <w:r>
              <w:t xml:space="preserve">Integrated Circuits (ICs)</w:t>
            </w:r>
          </w:p>
        </w:tc>
        <w:tc>
          <w:tcPr/>
          <w:p>
            <w:pPr>
              <w:pStyle w:val="Compact"/>
              <w:jc w:val="left"/>
            </w:pPr>
            <w:r>
              <w:t xml:space="preserve">Electronics</w:t>
            </w:r>
          </w:p>
        </w:tc>
        <w:tc>
          <w:tcPr/>
          <w:p>
            <w:pPr>
              <w:pStyle w:val="Compact"/>
              <w:jc w:val="left"/>
            </w:pPr>
            <w:r>
              <w:t xml:space="preserve">Semiconductor Fabrication (Europe Focused)</w:t>
            </w:r>
          </w:p>
        </w:tc>
        <w:tc>
          <w:tcPr/>
          <w:p>
            <w:pPr>
              <w:pStyle w:val="Compact"/>
              <w:jc w:val="left"/>
            </w:pPr>
            <w:r>
              <w:t xml:space="preserve">0.1</w:t>
            </w:r>
          </w:p>
        </w:tc>
        <w:tc>
          <w:tcPr/>
          <w:p>
            <w:pPr>
              <w:pStyle w:val="Compact"/>
              <w:jc w:val="left"/>
            </w:pPr>
            <w:r>
              <w:t xml:space="preserve">kg</w:t>
            </w:r>
          </w:p>
        </w:tc>
        <w:tc>
          <w:tcPr/>
          <w:p>
            <w:pPr>
              <w:pStyle w:val="Compact"/>
              <w:jc w:val="left"/>
            </w:pPr>
            <w:r>
              <w:t xml:space="preserve">20.00</w:t>
            </w:r>
          </w:p>
        </w:tc>
        <w:tc>
          <w:tcPr/>
          <w:p>
            <w:pPr>
              <w:pStyle w:val="Compact"/>
              <w:jc w:val="left"/>
            </w:pPr>
            <w:r>
              <w:t xml:space="preserve">2.00</w:t>
            </w:r>
          </w:p>
        </w:tc>
      </w:tr>
      <w:tr>
        <w:tc>
          <w:tcPr/>
          <w:p>
            <w:pPr>
              <w:pStyle w:val="Compact"/>
              <w:jc w:val="left"/>
            </w:pPr>
            <w:r>
              <w:t xml:space="preserve">M004</w:t>
            </w:r>
          </w:p>
        </w:tc>
        <w:tc>
          <w:tcPr/>
          <w:p>
            <w:pPr>
              <w:pStyle w:val="Compact"/>
              <w:jc w:val="left"/>
            </w:pPr>
            <w:r>
              <w:t xml:space="preserve">Lithium-ion Battery Pack</w:t>
            </w:r>
          </w:p>
        </w:tc>
        <w:tc>
          <w:tcPr/>
          <w:p>
            <w:pPr>
              <w:pStyle w:val="Compact"/>
              <w:jc w:val="left"/>
            </w:pPr>
            <w:r>
              <w:t xml:space="preserve">Chemicals/Energy Storage</w:t>
            </w:r>
          </w:p>
        </w:tc>
        <w:tc>
          <w:tcPr/>
          <w:p>
            <w:pPr>
              <w:pStyle w:val="Compact"/>
              <w:jc w:val="left"/>
            </w:pPr>
            <w:r>
              <w:t xml:space="preserve">Cell Production, Assembly (China)</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15.00</w:t>
            </w:r>
          </w:p>
        </w:tc>
        <w:tc>
          <w:tcPr/>
          <w:p>
            <w:pPr>
              <w:pStyle w:val="Compact"/>
              <w:jc w:val="left"/>
            </w:pPr>
            <w:r>
              <w:t xml:space="preserve">3.00</w:t>
            </w:r>
          </w:p>
        </w:tc>
      </w:tr>
      <w:tr>
        <w:tc>
          <w:tcPr/>
          <w:p>
            <w:pPr>
              <w:pStyle w:val="Compact"/>
              <w:jc w:val="left"/>
            </w:pPr>
            <w:r>
              <w:t xml:space="preserve">M005</w:t>
            </w:r>
          </w:p>
        </w:tc>
        <w:tc>
          <w:tcPr/>
          <w:p>
            <w:pPr>
              <w:pStyle w:val="Compact"/>
              <w:jc w:val="left"/>
            </w:pPr>
            <w:r>
              <w:t xml:space="preserve">Plastic Components (ABS)</w:t>
            </w:r>
          </w:p>
        </w:tc>
        <w:tc>
          <w:tcPr/>
          <w:p>
            <w:pPr>
              <w:pStyle w:val="Compact"/>
              <w:jc w:val="left"/>
            </w:pPr>
            <w:r>
              <w:t xml:space="preserve">Plastics</w:t>
            </w:r>
          </w:p>
        </w:tc>
        <w:tc>
          <w:tcPr/>
          <w:p>
            <w:pPr>
              <w:pStyle w:val="Compact"/>
              <w:jc w:val="left"/>
            </w:pPr>
            <w:r>
              <w:t xml:space="preserve">Injection Molding (China)</w:t>
            </w:r>
          </w:p>
        </w:tc>
        <w:tc>
          <w:tcPr/>
          <w:p>
            <w:pPr>
              <w:pStyle w:val="Compact"/>
              <w:jc w:val="left"/>
            </w:pPr>
            <w:r>
              <w:t xml:space="preserve">0.3</w:t>
            </w:r>
          </w:p>
        </w:tc>
        <w:tc>
          <w:tcPr/>
          <w:p>
            <w:pPr>
              <w:pStyle w:val="Compact"/>
              <w:jc w:val="left"/>
            </w:pPr>
            <w:r>
              <w:t xml:space="preserve">kg</w:t>
            </w:r>
          </w:p>
        </w:tc>
        <w:tc>
          <w:tcPr/>
          <w:p>
            <w:pPr>
              <w:pStyle w:val="Compact"/>
              <w:jc w:val="left"/>
            </w:pPr>
            <w:r>
              <w:t xml:space="preserve">2.50</w:t>
            </w:r>
          </w:p>
        </w:tc>
        <w:tc>
          <w:tcPr/>
          <w:p>
            <w:pPr>
              <w:pStyle w:val="Compact"/>
              <w:jc w:val="left"/>
            </w:pPr>
            <w:r>
              <w:t xml:space="preserve">0.75</w:t>
            </w:r>
          </w:p>
        </w:tc>
      </w:tr>
      <w:tr>
        <w:tc>
          <w:tcPr/>
          <w:p>
            <w:pPr>
              <w:pStyle w:val="Compact"/>
              <w:jc w:val="left"/>
            </w:pPr>
            <w:r>
              <w:t xml:space="preserve">M006</w:t>
            </w:r>
          </w:p>
        </w:tc>
        <w:tc>
          <w:tcPr/>
          <w:p>
            <w:pPr>
              <w:pStyle w:val="Compact"/>
              <w:jc w:val="left"/>
            </w:pPr>
            <w:r>
              <w:t xml:space="preserve">Wiring &amp; Connectors</w:t>
            </w:r>
          </w:p>
        </w:tc>
        <w:tc>
          <w:tcPr/>
          <w:p>
            <w:pPr>
              <w:pStyle w:val="Compact"/>
              <w:jc w:val="left"/>
            </w:pPr>
            <w:r>
              <w:t xml:space="preserve">Metals/Plastics</w:t>
            </w:r>
          </w:p>
        </w:tc>
        <w:tc>
          <w:tcPr/>
          <w:p>
            <w:pPr>
              <w:pStyle w:val="Compact"/>
              <w:jc w:val="left"/>
            </w:pPr>
            <w:r>
              <w:t xml:space="preserve">Copper Drawing, Plastic Extrusion (Europe Focused)</w:t>
            </w:r>
          </w:p>
        </w:tc>
        <w:tc>
          <w:tcPr/>
          <w:p>
            <w:pPr>
              <w:pStyle w:val="Compact"/>
              <w:jc w:val="left"/>
            </w:pPr>
            <w:r>
              <w:t xml:space="preserve">0.05</w:t>
            </w:r>
          </w:p>
        </w:tc>
        <w:tc>
          <w:tcPr/>
          <w:p>
            <w:pPr>
              <w:pStyle w:val="Compact"/>
              <w:jc w:val="left"/>
            </w:pPr>
            <w:r>
              <w:t xml:space="preserve">kg</w:t>
            </w:r>
          </w:p>
        </w:tc>
        <w:tc>
          <w:tcPr/>
          <w:p>
            <w:pPr>
              <w:pStyle w:val="Compact"/>
              <w:jc w:val="left"/>
            </w:pPr>
            <w:r>
              <w:t xml:space="preserve">6.00</w:t>
            </w:r>
          </w:p>
        </w:tc>
        <w:tc>
          <w:tcPr/>
          <w:p>
            <w:pPr>
              <w:pStyle w:val="Compact"/>
              <w:jc w:val="left"/>
            </w:pPr>
            <w:r>
              <w:t xml:space="preserve">0.30</w:t>
            </w:r>
          </w:p>
        </w:tc>
      </w:tr>
    </w:tbl>
    <w:p>
      <w:pPr>
        <w:pStyle w:val="BodyText"/>
      </w:pPr>
      <w:r>
        <w:t xml:space="preserve">*Note: The \'Emission Factor\' and \'Total Carbon\' values in this table are illustrative examples based on industry averages for similar processes and materials, reflecting a Europe-focused supply chain for upstream materials and Chinese manufacturing for certain components. The actual report would use the exact values from the provided \'oholegqx\' BOM data. The "Total Carbon" column represents the \'Qty\' multiplied by the \'Emission Factor\' for each item within the BOM itself.*</w:t>
      </w:r>
    </w:p>
    <w:p>
      <w:pPr>
        <w:pStyle w:val="BodyText"/>
      </w:pPr>
      <w:r>
        <w:t xml:space="preserve">Emission factors for raw material extraction and processing are typically sourced from life cycle inventory databases like Ecoinvent, which provides detailed data for various industrial sectors, including metals, plastics, and electronics, with geographical specificity. These factors often include upstream emissions, transportation to the "consumer," and losses.</w:t>
      </w:r>
    </w:p>
    <w:bookmarkEnd w:id="27"/>
    <w:bookmarkStart w:id="28" w:name="manufacturing-scope-1-scope-2-scope-3"/>
    <w:p>
      <w:pPr>
        <w:pStyle w:val="Heading3"/>
      </w:pPr>
      <w:r>
        <w:t xml:space="preserve">2.2 Manufacturing (Scope 1, Scope 2, Scope 3)</w:t>
      </w:r>
    </w:p>
    <w:p>
      <w:pPr>
        <w:pStyle w:val="FirstParagraph"/>
      </w:pPr>
      <w:r>
        <w:t xml:space="preserve">The manufacturing phase takes place in China. Emissions arise from direct energy consumption (electricity and potentially on-site fuel combustion), and indirect emissions from purchased electricity.</w:t>
      </w:r>
    </w:p>
    <w:p>
      <w:pPr>
        <w:numPr>
          <w:ilvl w:val="0"/>
          <w:numId w:val="1003"/>
        </w:numPr>
      </w:pPr>
      <w:r>
        <w:t xml:space="preserve">**Energy Intensity (kWh/unit):** lzowerhwlk kWh/unit (Illustrative: 10 kWh/unit)</w:t>
      </w:r>
    </w:p>
    <w:p>
      <w:pPr>
        <w:numPr>
          <w:ilvl w:val="0"/>
          <w:numId w:val="1000"/>
        </w:numPr>
      </w:pPr>
      <w:r>
        <w:t xml:space="preserve">The energy consumption during the production phase is a critical input.</w:t>
      </w:r>
    </w:p>
    <w:p>
      <w:pPr>
        <w:numPr>
          <w:ilvl w:val="0"/>
          <w:numId w:val="1003"/>
        </w:numPr>
      </w:pPr>
      <w:r>
        <w:t xml:space="preserve">**Renewable Energy Usage:** kqygvygysl (Illustrative: 30%)</w:t>
      </w:r>
    </w:p>
    <w:p>
      <w:pPr>
        <w:numPr>
          <w:ilvl w:val="0"/>
          <w:numId w:val="1000"/>
        </w:numPr>
      </w:pPr>
      <w:r>
        <w:t xml:space="preserve">The percentage of renewable energy utilized at the manufacturing facility directly impacts Scope 2 emissions. This information is used to calculate the non-renewable portion\'s emissions based on the local grid mix.</w:t>
      </w:r>
    </w:p>
    <w:p>
      <w:pPr>
        <w:numPr>
          <w:ilvl w:val="0"/>
          <w:numId w:val="1003"/>
        </w:numPr>
        <w:pStyle w:val="Compact"/>
      </w:pPr>
      <w:r>
        <w:t xml:space="preserve">**Scope 1 (Direct Emissions):** Emissions from company-owned or controlled sources (e.g., natural gas combustion for heating). Without specific data for on-site fuel consumption, these are assumed negligible for this product-level analysis, or are incorporated into the upstream energy production if sourced off-site.</w:t>
      </w:r>
    </w:p>
    <w:p>
      <w:pPr>
        <w:numPr>
          <w:ilvl w:val="0"/>
          <w:numId w:val="1003"/>
        </w:numPr>
      </w:pPr>
      <w:r>
        <w:t xml:space="preserve">**Scope 2 (Purchased Electricity):** Emissions from the generation of purchased electricity consumed by wwnoxpojso\'s manufacturing facility in China.</w:t>
      </w:r>
    </w:p>
    <w:p>
      <w:pPr>
        <w:numPr>
          <w:ilvl w:val="0"/>
          <w:numId w:val="1000"/>
        </w:numPr>
      </w:pPr>
      <w:r>
        <w:t xml:space="preserve">Calculation for illustrative purposes:</w:t>
      </w:r>
      <w:r>
        <w:t xml:space="preserve"> </w:t>
      </w:r>
      <w:r>
        <w:t xml:space="preserve">* Total energy consumption: 10 kWh/unit</w:t>
      </w:r>
      <w:r>
        <w:t xml:space="preserve"> </w:t>
      </w:r>
      <w:r>
        <w:t xml:space="preserve">* Renewable energy usage: 30%</w:t>
      </w:r>
      <w:r>
        <w:t xml:space="preserve"> </w:t>
      </w:r>
      <w:r>
        <w:t xml:space="preserve">* Non-renewable energy: 10 kWh * (1 - 0.30) = 7 kWh/unit</w:t>
      </w:r>
      <w:r>
        <w:t xml:space="preserve"> </w:t>
      </w:r>
      <w:r>
        <w:t xml:space="preserve">* Illustrative Chinese grid emission factor: 0.7 kg CO2e/kWh (Example, actual factor would be from Ecoinvent/IEA for China)</w:t>
      </w:r>
      <w:r>
        <w:t xml:space="preserve"> </w:t>
      </w:r>
      <w:r>
        <w:t xml:space="preserve">* Illustrative Scope 2 Emissions: 7 kWh/unit * 0.7 kg CO2e/kWh = 4.9 kg CO2e/unit</w:t>
      </w:r>
    </w:p>
    <w:p>
      <w:pPr>
        <w:numPr>
          <w:ilvl w:val="0"/>
          <w:numId w:val="1003"/>
        </w:numPr>
        <w:pStyle w:val="Compact"/>
      </w:pPr>
      <w:r>
        <w:t xml:space="preserve">**Scope 3 (Waste from Operations):** Emissions from waste generated during manufacturing are also considered under Scope 3, Category 5.</w:t>
      </w:r>
    </w:p>
    <w:bookmarkEnd w:id="28"/>
    <w:bookmarkStart w:id="29" w:name="X566253668676b8d21c3cd748ba9a1dcc9ea6881"/>
    <w:p>
      <w:pPr>
        <w:pStyle w:val="Heading3"/>
      </w:pPr>
      <w:r>
        <w:t xml:space="preserve">2.3 Transportation (Scope 3, Category 4: Upstream Transportation and Distribution)</w:t>
      </w:r>
    </w:p>
    <w:p>
      <w:pPr>
        <w:pStyle w:val="FirstParagraph"/>
      </w:pPr>
      <w:r>
        <w:t xml:space="preserve">Transportation emissions cover the movement of raw materials and components from suppliers (Europe-focused) to the final production facility in China, and potentially from China to the "factory_gate" if that implies the gate before outbound shipping for global distribution.</w:t>
      </w:r>
    </w:p>
    <w:p>
      <w:pPr>
        <w:numPr>
          <w:ilvl w:val="0"/>
          <w:numId w:val="1004"/>
        </w:numPr>
        <w:pStyle w:val="Compact"/>
      </w:pPr>
      <w:r>
        <w:t xml:space="preserve">**Transport Mode:** Select Mode (Illustrative: Ocean Freight from Europe to China)</w:t>
      </w:r>
    </w:p>
    <w:p>
      <w:pPr>
        <w:numPr>
          <w:ilvl w:val="0"/>
          <w:numId w:val="1004"/>
        </w:numPr>
        <w:pStyle w:val="Compact"/>
      </w:pPr>
      <w:r>
        <w:t xml:space="preserve">**Transport Distance:** irhpoygnti (Illustrative: 15,000 km)</w:t>
      </w:r>
    </w:p>
    <w:p>
      <w:pPr>
        <w:numPr>
          <w:ilvl w:val="0"/>
          <w:numId w:val="1004"/>
        </w:numPr>
        <w:pStyle w:val="Compact"/>
      </w:pPr>
      <w:r>
        <w:t xml:space="preserve">**Last-Mile Delivery Channel (Upstream):** Delivery Type (Illustrative: Road freight for local distribution to factory)</w:t>
      </w:r>
    </w:p>
    <w:p>
      <w:pPr>
        <w:pStyle w:val="FirstParagraph"/>
      </w:pPr>
      <w:r>
        <w:t xml:space="preserve">Emission factors for transportation are typically sourced from databases like DEFRA, which provide factors for various modes of transport (e.g., road, rail, air, sea) and vehicle types, allowing for calculation based on mass-distance units (kg CO2e/tonne-km).</w:t>
      </w:r>
    </w:p>
    <w:p>
      <w:pPr>
        <w:pStyle w:val="BodyText"/>
      </w:pPr>
      <w:r>
        <w:t xml:space="preserve">Calculation for illustrative purposes:</w:t>
      </w:r>
      <w:r>
        <w:t xml:space="preserve"> </w:t>
      </w:r>
      <w:r>
        <w:t xml:space="preserve">* Total mass of product + packaging (illustrative): 1 kg</w:t>
      </w:r>
      <w:r>
        <w:t xml:space="preserve"> </w:t>
      </w:r>
      <w:r>
        <w:t xml:space="preserve">* Ocean Freight Emission Factor (illustrative): 0.01 kg CO2e/tonne-km</w:t>
      </w:r>
      <w:r>
        <w:t xml:space="preserve"> </w:t>
      </w:r>
      <w:r>
        <w:t xml:space="preserve">* Road Freight Emission Factor (illustrative, last mile): 0.1 kg CO2e/tonne-km</w:t>
      </w:r>
      <w:r>
        <w:t xml:space="preserve"> </w:t>
      </w:r>
      <w:r>
        <w:t xml:space="preserve">* Illustrative Upstream Transport Emissions: (1 kg * 15,000 km * 0.01 kg CO2e/tonne-km / 1000) + (1 kg * 100 km * 0.1 kg CO2e/tonne-km / 1000) = 0.15 kg CO2e + 0.01 kg CO2e = 0.16 kg CO2e/unit</w:t>
      </w:r>
    </w:p>
    <w:bookmarkEnd w:id="29"/>
    <w:bookmarkStart w:id="30" w:name="Xc8d47610e025d3b1fe367d676386ecee874efa3"/>
    <w:p>
      <w:pPr>
        <w:pStyle w:val="Heading3"/>
      </w:pPr>
      <w:r>
        <w:t xml:space="preserve">2.4 Use Phase (Scope 3, Category 11: Use of Sold Products)</w:t>
      </w:r>
    </w:p>
    <w:p>
      <w:pPr>
        <w:pStyle w:val="FirstParagraph"/>
      </w:pPr>
      <w:r>
        <w:t xml:space="preserve">The use phase emissions are calculated based on the product\'s expected lifespan and its energy consumption during that period.</w:t>
      </w:r>
    </w:p>
    <w:p>
      <w:pPr>
        <w:numPr>
          <w:ilvl w:val="0"/>
          <w:numId w:val="1005"/>
        </w:numPr>
        <w:pStyle w:val="Compact"/>
      </w:pPr>
      <w:r>
        <w:t xml:space="preserve">**Product Lifespan:** hpvunnqrzd (Illustrative: 5 years)</w:t>
      </w:r>
    </w:p>
    <w:p>
      <w:pPr>
        <w:numPr>
          <w:ilvl w:val="0"/>
          <w:numId w:val="1005"/>
        </w:numPr>
        <w:pStyle w:val="Compact"/>
      </w:pPr>
      <w:r>
        <w:t xml:space="preserve">**Energy Consumption in Use:** ilisvmxift (Illustrative: 5 kWh/year)</w:t>
      </w:r>
    </w:p>
    <w:p>
      <w:pPr>
        <w:pStyle w:val="FirstParagraph"/>
      </w:pPr>
      <w:r>
        <w:t xml:space="preserve">Calculation for illustrative purposes:</w:t>
      </w:r>
      <w:r>
        <w:t xml:space="preserve"> </w:t>
      </w:r>
      <w:r>
        <w:t xml:space="preserve">* Total energy consumption over lifespan: 5 kWh/year * 5 years = 25 kWh</w:t>
      </w:r>
      <w:r>
        <w:t xml:space="preserve"> </w:t>
      </w:r>
      <w:r>
        <w:t xml:space="preserve">* Illustrative average grid emission factor (e.g., global average for consumer use): 0.5 kg CO2e/kWh</w:t>
      </w:r>
      <w:r>
        <w:t xml:space="preserve"> </w:t>
      </w:r>
      <w:r>
        <w:t xml:space="preserve">* Illustrative Use Phase Emissions: 25 kWh * 0.5 kg CO2e/kWh = 12.5 kg CO2e/unit</w:t>
      </w:r>
    </w:p>
    <w:bookmarkEnd w:id="30"/>
    <w:bookmarkStart w:id="31" w:name="X9982929b618de862c11111658ccce8db3e98553"/>
    <w:p>
      <w:pPr>
        <w:pStyle w:val="Heading3"/>
      </w:pPr>
      <w:r>
        <w:t xml:space="preserve">2.5 End-of-Life (EoL) (Scope 3, Category 12: End-of-Life Treatment of Sold Products)</w:t>
      </w:r>
    </w:p>
    <w:p>
      <w:pPr>
        <w:pStyle w:val="FirstParagraph"/>
      </w:pPr>
      <w:r>
        <w:t xml:space="preserve">End-of-life scenarios consider the fate of the product after its useful life, incorporating circular economy principles.</w:t>
      </w:r>
    </w:p>
    <w:p>
      <w:pPr>
        <w:numPr>
          <w:ilvl w:val="0"/>
          <w:numId w:val="1006"/>
        </w:numPr>
        <w:pStyle w:val="Compact"/>
      </w:pPr>
      <w:r>
        <w:t xml:space="preserve">**Recyclability Percentage:** lfdeqnrpgj (Illustrative: 70%)</w:t>
      </w:r>
    </w:p>
    <w:p>
      <w:pPr>
        <w:numPr>
          <w:ilvl w:val="0"/>
          <w:numId w:val="1006"/>
        </w:numPr>
        <w:pStyle w:val="Compact"/>
      </w:pPr>
      <w:r>
        <w:t xml:space="preserve">**Circular/Take-back Programs:** uqdlzgfxmt (Illustrative: Yes, with a 10% return rate)</w:t>
      </w:r>
    </w:p>
    <w:p>
      <w:pPr>
        <w:pStyle w:val="FirstParagraph"/>
      </w:pPr>
      <w:r>
        <w:t xml:space="preserve">The GHG Protocol encourages accounting for both actual and avoided emissions at the end-of-life. For example, recycling can avoid the production of virgin materials.</w:t>
      </w:r>
    </w:p>
    <w:p>
      <w:pPr>
        <w:pStyle w:val="BodyText"/>
      </w:pPr>
      <w:r>
        <w:t xml:space="preserve">Calculation for illustrative purposes (simplified):</w:t>
      </w:r>
      <w:r>
        <w:t xml:space="preserve"> </w:t>
      </w:r>
      <w:r>
        <w:t xml:space="preserve">* Mass of product (illustrative): 1 kg</w:t>
      </w:r>
      <w:r>
        <w:t xml:space="preserve"> </w:t>
      </w:r>
      <w:r>
        <w:t xml:space="preserve">* 70% Recycled: 0.7 kg</w:t>
      </w:r>
      <w:r>
        <w:t xml:space="preserve"> </w:t>
      </w:r>
      <w:r>
        <w:t xml:space="preserve">* 30% Landfilled/Incinerated: 0.3 kg</w:t>
      </w:r>
      <w:r>
        <w:t xml:space="preserve"> </w:t>
      </w:r>
      <w:r>
        <w:t xml:space="preserve">* Illustrative Recycling benefit (avoided virgin material, e.g., aluminum): -2 kg CO2e/kg</w:t>
      </w:r>
      <w:r>
        <w:t xml:space="preserve"> </w:t>
      </w:r>
      <w:r>
        <w:t xml:space="preserve">* Illustrative Landfill/Incineration emissions (e.g., for mixed waste): 1 kg CO2e/kg</w:t>
      </w:r>
      <w:r>
        <w:t xml:space="preserve"> </w:t>
      </w:r>
      <w:r>
        <w:t xml:space="preserve">* Illustrative EoL Emissions: (0.7 kg * -2 kg CO2e/kg) + (0.3 kg * 1 kg CO2e/kg) = -1.4 kg CO2e + 0.3 kg CO2e = -1.1 kg CO2e/unit (Net benefit)</w:t>
      </w:r>
      <w:r>
        <w:t xml:space="preserve"> </w:t>
      </w:r>
      <w:r>
        <w:t xml:space="preserve">* The impact of take-back programs would further enhance this by increasing the actual recycling rate or ensuring proper disposal, though quantification requires detailed program data.</w:t>
      </w:r>
    </w:p>
    <w:bookmarkEnd w:id="31"/>
    <w:bookmarkStart w:id="32" w:name="X7ef73fe3d39a8d84fae696b42f814aa0d860ec0"/>
    <w:p>
      <w:pPr>
        <w:pStyle w:val="Heading3"/>
      </w:pPr>
      <w:r>
        <w:t xml:space="preserve">2.6 2026 LSR Update (Land Sector and Removals Standard)</w:t>
      </w:r>
    </w:p>
    <w:p>
      <w:pPr>
        <w:pStyle w:val="FirstParagraph"/>
      </w:pPr>
      <w:r>
        <w:t xml:space="preserve">The GHG Protocol\'s Land Sector and Removals (LSR) Standard, finalized in January 2026 and effective January 1, 2027, provides a comprehensive framework for accounting for forest, land, and agriculture (FLAG) emissions and carbon removals. While specific land use data for jddkkkusem\'s components is not provided, this report acknowledges its importance. For materials derived from agricultural or forestry products (e.g., packaging, certain bio-based plastics), the LSR Standard would necessitate detailed tracking of land use change (LUC) emissions, including mandatory linear discounting for LUC emissions, and requirements for land leakage. It also covers carbon removals, which can be reported in-inventory if they occur in the value chain and maintain traceability.</w:t>
      </w:r>
    </w:p>
    <w:p>
      <w:pPr>
        <w:pStyle w:val="BodyText"/>
      </w:pPr>
      <w:r>
        <w:t xml:space="preserve">In the context of jddkkkusem, if any components or packaging were sourced from biomass or products with significant land-use implications (e.g., specific types of plastics from bio-feedstock, or paper/cardboard from managed forests), the LSR Standard would be applied to quantify associated emissions or removals. Since no such explicit data is given for jddkkkusem, we assume for this report that the primary materials do not have direct, significant land-use change impacts that would be separately calculable under the LSR Standard based on current available product data. However, the upstream emissions factors for materials (e.g., from Ecoinvent) implicitly include some land-use impacts associated with raw material production. The LSR Standard currently does not cover forest carbon accounting for management forests, but focuses on deforestation driven by commodity supply chains.</w:t>
      </w:r>
    </w:p>
    <w:p>
      <w:r>
        <w:pict>
          <v:rect style="width:0;height:1.5pt" o:hralign="center" o:hrstd="t" o:hr="t"/>
        </w:pict>
      </w:r>
    </w:p>
    <w:bookmarkEnd w:id="32"/>
    <w:bookmarkEnd w:id="33"/>
    <w:bookmarkStart w:id="38" w:name="Xb404f6bea4a0013006ec7a9103609d9ea6643c1"/>
    <w:p>
      <w:pPr>
        <w:pStyle w:val="Heading2"/>
      </w:pPr>
      <w:r>
        <w:t xml:space="preserve">4. Calculate Emissions (Activity * Emission Factor = CO2e)</w:t>
      </w:r>
    </w:p>
    <w:p>
      <w:pPr>
        <w:pStyle w:val="FirstParagraph"/>
      </w:pPr>
      <w:r>
        <w:t xml:space="preserve">The calculation of emissions aggregates the data collected for each lifecycle stage, multiplying activity data by relevant emission factors to arrive at CO2e values. These are then categorized according to the GHG Protocol\'s Scope 1, 2, and 3 definitions. Industry-standard emission factors from sources like Ecoinvent and DEFRA are employed to ensure accuracy and comparability.</w:t>
      </w:r>
    </w:p>
    <w:bookmarkStart w:id="34" w:name="scope-1-emissions-direct-ghg-emissions"/>
    <w:p>
      <w:pPr>
        <w:pStyle w:val="Heading3"/>
      </w:pPr>
      <w:r>
        <w:t xml:space="preserve">4.1 Scope 1 Emissions (Direct GHG Emissions)</w:t>
      </w:r>
    </w:p>
    <w:p>
      <w:pPr>
        <w:pStyle w:val="FirstParagraph"/>
      </w:pPr>
      <w:r>
        <w:t xml:space="preserve">For a Product Carbon Footprint with a "factory_gate" system boundary, direct Scope 1 emissions typically refer to GHG emissions from sources owned or controlled by wwnoxpojso at its manufacturing facility (e.g., combustion of natural gas in boilers). Without specific on-site fuel consumption data, these emissions are considered negligible for the product-level assessment within this report or are accounted for in the electricity grid mix if the factory uses combined heat and power from fossil fuels.</w:t>
      </w:r>
    </w:p>
    <w:p>
      <w:pPr>
        <w:numPr>
          <w:ilvl w:val="0"/>
          <w:numId w:val="1007"/>
        </w:numPr>
        <w:pStyle w:val="Compact"/>
      </w:pPr>
      <w:r>
        <w:t xml:space="preserve">**Illustrative Scope 1 Emissions:** 0.0 kg CO2e/unit (assuming no direct on-site fossil fuel combustion attributable to the product)</w:t>
      </w:r>
    </w:p>
    <w:bookmarkEnd w:id="34"/>
    <w:bookmarkStart w:id="35" w:name="Xbb5acbe758e0c55736b91d58e1ac054c7ce7b4f"/>
    <w:p>
      <w:pPr>
        <w:pStyle w:val="Heading3"/>
      </w:pPr>
      <w:r>
        <w:t xml:space="preserve">4.2 Scope 2 Emissions (Electricity-Related Indirect GHG Emissions)</w:t>
      </w:r>
    </w:p>
    <w:p>
      <w:pPr>
        <w:pStyle w:val="FirstParagraph"/>
      </w:pPr>
      <w:r>
        <w:t xml:space="preserve">Scope 2 emissions account for GHG emissions from the generation of purchased electricity consumed by wwnoxpojso\'s manufacturing operations in China.</w:t>
      </w:r>
    </w:p>
    <w:p>
      <w:pPr>
        <w:numPr>
          <w:ilvl w:val="0"/>
          <w:numId w:val="1008"/>
        </w:numPr>
        <w:pStyle w:val="Compact"/>
      </w:pPr>
      <w:r>
        <w:t xml:space="preserve">**Illustrative Calculation:**</w:t>
      </w:r>
    </w:p>
    <w:p>
      <w:pPr>
        <w:numPr>
          <w:ilvl w:val="1"/>
          <w:numId w:val="1009"/>
        </w:numPr>
        <w:pStyle w:val="Compact"/>
      </w:pPr>
      <w:r>
        <w:t xml:space="preserve">Energy Intensity: 10 kWh/unit (lzowerhwlk)</w:t>
      </w:r>
    </w:p>
    <w:p>
      <w:pPr>
        <w:numPr>
          <w:ilvl w:val="1"/>
          <w:numId w:val="1009"/>
        </w:numPr>
        <w:pStyle w:val="Compact"/>
      </w:pPr>
      <w:r>
        <w:t xml:space="preserve">Renewable Energy Usage: 30% (kqygvygysl)</w:t>
      </w:r>
    </w:p>
    <w:p>
      <w:pPr>
        <w:numPr>
          <w:ilvl w:val="1"/>
          <w:numId w:val="1009"/>
        </w:numPr>
        <w:pStyle w:val="Compact"/>
      </w:pPr>
      <w:r>
        <w:t xml:space="preserve">Non-renewable electricity purchased: 10 kWh * (1 - 0.30) = 7 kWh/unit</w:t>
      </w:r>
    </w:p>
    <w:p>
      <w:pPr>
        <w:numPr>
          <w:ilvl w:val="1"/>
          <w:numId w:val="1009"/>
        </w:numPr>
        <w:pStyle w:val="Compact"/>
      </w:pPr>
      <w:r>
        <w:t xml:space="preserve">Chinese Grid Emission Factor (illustrative): 0.7 kg CO2e/kWh</w:t>
      </w:r>
    </w:p>
    <w:p>
      <w:pPr>
        <w:numPr>
          <w:ilvl w:val="1"/>
          <w:numId w:val="1009"/>
        </w:numPr>
        <w:pStyle w:val="Compact"/>
      </w:pPr>
      <w:r>
        <w:t xml:space="preserve">**Total Illustrative Scope 2 Emissions:** 7 kWh/unit * 0.7 kg CO2e/kWh =</w:t>
      </w:r>
      <w:r>
        <w:t xml:space="preserve"> </w:t>
      </w:r>
      <w:r>
        <w:rPr>
          <w:bCs/>
          <w:b/>
        </w:rPr>
        <w:t xml:space="preserve">4.9 kg CO2e/unit</w:t>
      </w:r>
    </w:p>
    <w:bookmarkEnd w:id="35"/>
    <w:bookmarkStart w:id="36" w:name="X3bc7f263b07c9926b4e2754312deb6f8a030b70"/>
    <w:p>
      <w:pPr>
        <w:pStyle w:val="Heading3"/>
      </w:pPr>
      <w:r>
        <w:t xml:space="preserve">4.3 Scope 3 Emissions (Other Indirect GHG Emissions)</w:t>
      </w:r>
    </w:p>
    <w:p>
      <w:pPr>
        <w:pStyle w:val="FirstParagraph"/>
      </w:pPr>
      <w:r>
        <w:t xml:space="preserve">Scope 3 emissions encompass all other indirect emissions that occur in the value chain of wwnoxpojso, both upstream and downstream. The GHG Protocol mandates at least 95% coverage for Scope 3 reporting in 2026 requirements, ensuring that all major emission sources are quantified.</w:t>
      </w:r>
    </w:p>
    <w:p>
      <w:pPr>
        <w:pStyle w:val="BodyText"/>
      </w:pPr>
      <w:r>
        <w:t xml:space="preserve">**Illustrative Breakdown of Scope 3 Emissions for jddkkkusem:**</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Protocol Scope 3 Category</w:t>
            </w:r>
          </w:p>
        </w:tc>
        <w:tc>
          <w:tcPr/>
          <w:p>
            <w:pPr>
              <w:pStyle w:val="Compact"/>
              <w:jc w:val="left"/>
            </w:pPr>
            <w:r>
              <w:t xml:space="preserve">Description</w:t>
            </w:r>
          </w:p>
        </w:tc>
        <w:tc>
          <w:tcPr/>
          <w:p>
            <w:pPr>
              <w:pStyle w:val="Compact"/>
              <w:jc w:val="left"/>
            </w:pPr>
            <w:r>
              <w:t xml:space="preserve">Illustrative Emission (kg CO2e/unit)</w:t>
            </w:r>
          </w:p>
        </w:tc>
        <w:tc>
          <w:tcPr/>
          <w:p>
            <w:pPr>
              <w:pStyle w:val="Compact"/>
              <w:jc w:val="left"/>
            </w:pPr>
            <w:r>
              <w:t xml:space="preserve">Basis of Calculation</w:t>
            </w:r>
          </w:p>
        </w:tc>
      </w:tr>
      <w:tr>
        <w:tc>
          <w:tcPr/>
          <w:p>
            <w:pPr>
              <w:pStyle w:val="Compact"/>
              <w:jc w:val="left"/>
            </w:pPr>
            <w:r>
              <w:t xml:space="preserve">Category 1: Purchased Goods &amp; Services</w:t>
            </w:r>
          </w:p>
        </w:tc>
        <w:tc>
          <w:tcPr/>
          <w:p>
            <w:pPr>
              <w:pStyle w:val="Compact"/>
              <w:jc w:val="left"/>
            </w:pPr>
            <w:r>
              <w:t xml:space="preserve">Emissions from raw material extraction, processing, and component manufacturing (based on BOM).</w:t>
            </w:r>
          </w:p>
        </w:tc>
        <w:tc>
          <w:tcPr/>
          <w:p>
            <w:pPr>
              <w:pStyle w:val="Compact"/>
              <w:jc w:val="left"/>
            </w:pPr>
            <w:r>
              <w:t xml:space="preserve">13.55</w:t>
            </w:r>
          </w:p>
        </w:tc>
        <w:tc>
          <w:tcPr/>
          <w:p>
            <w:pPr>
              <w:pStyle w:val="Compact"/>
              <w:jc w:val="left"/>
            </w:pPr>
            <w:r>
              <w:t xml:space="preserve">Sum of \'Total Carbon\' from Illustrative BOM (4.00+3.50+2.00+3.00+0.75+0.30)</w:t>
            </w:r>
          </w:p>
        </w:tc>
      </w:tr>
      <w:tr>
        <w:tc>
          <w:tcPr/>
          <w:p>
            <w:pPr>
              <w:pStyle w:val="Compact"/>
              <w:jc w:val="left"/>
            </w:pPr>
            <w:r>
              <w:t xml:space="preserve">Category 4: Upstream Transportation &amp; Distribution</w:t>
            </w:r>
          </w:p>
        </w:tc>
        <w:tc>
          <w:tcPr/>
          <w:p>
            <w:pPr>
              <w:pStyle w:val="Compact"/>
              <w:jc w:val="left"/>
            </w:pPr>
            <w:r>
              <w:t xml:space="preserve">Emissions from transport of materials and components to the manufacturing facility.</w:t>
            </w:r>
          </w:p>
        </w:tc>
        <w:tc>
          <w:tcPr/>
          <w:p>
            <w:pPr>
              <w:pStyle w:val="Compact"/>
              <w:jc w:val="left"/>
            </w:pPr>
            <w:r>
              <w:t xml:space="preserve">0.16</w:t>
            </w:r>
          </w:p>
        </w:tc>
        <w:tc>
          <w:tcPr/>
          <w:p>
            <w:pPr>
              <w:pStyle w:val="Compact"/>
              <w:jc w:val="left"/>
            </w:pPr>
            <w:r>
              <w:t xml:space="preserve">Illustrative Ocean and Road Freight calculation</w:t>
            </w:r>
          </w:p>
        </w:tc>
      </w:tr>
      <w:tr>
        <w:tc>
          <w:tcPr/>
          <w:p>
            <w:pPr>
              <w:pStyle w:val="Compact"/>
              <w:jc w:val="left"/>
            </w:pPr>
            <w:r>
              <w:t xml:space="preserve">Category 5: Waste Generated in Operations</w:t>
            </w:r>
          </w:p>
        </w:tc>
        <w:tc>
          <w:tcPr/>
          <w:p>
            <w:pPr>
              <w:pStyle w:val="Compact"/>
              <w:jc w:val="left"/>
            </w:pPr>
            <w:r>
              <w:t xml:space="preserve">Emissions from waste disposal generated during manufacturing.</w:t>
            </w:r>
          </w:p>
        </w:tc>
        <w:tc>
          <w:tcPr/>
          <w:p>
            <w:pPr>
              <w:pStyle w:val="Compact"/>
              <w:jc w:val="left"/>
            </w:pPr>
            <w:r>
              <w:t xml:space="preserve">0.10</w:t>
            </w:r>
          </w:p>
        </w:tc>
        <w:tc>
          <w:tcPr/>
          <w:p>
            <w:pPr>
              <w:pStyle w:val="Compact"/>
              <w:jc w:val="left"/>
            </w:pPr>
            <w:r>
              <w:t xml:space="preserve">Illustrative; e.g., 0.1 kg waste @ 1 kg CO2e/kg waste</w:t>
            </w:r>
          </w:p>
        </w:tc>
      </w:tr>
      <w:tr>
        <w:tc>
          <w:tcPr/>
          <w:p>
            <w:pPr>
              <w:pStyle w:val="Compact"/>
              <w:jc w:val="left"/>
            </w:pPr>
            <w:r>
              <w:t xml:space="preserve">Category 11: Use of Sold Products</w:t>
            </w:r>
          </w:p>
        </w:tc>
        <w:tc>
          <w:tcPr/>
          <w:p>
            <w:pPr>
              <w:pStyle w:val="Compact"/>
              <w:jc w:val="left"/>
            </w:pPr>
            <w:r>
              <w:t xml:space="preserve">Emissions from product energy consumption during its lifespan.</w:t>
            </w:r>
          </w:p>
        </w:tc>
        <w:tc>
          <w:tcPr/>
          <w:p>
            <w:pPr>
              <w:pStyle w:val="Compact"/>
              <w:jc w:val="left"/>
            </w:pPr>
            <w:r>
              <w:t xml:space="preserve">12.50</w:t>
            </w:r>
          </w:p>
        </w:tc>
        <w:tc>
          <w:tcPr/>
          <w:p>
            <w:pPr>
              <w:pStyle w:val="Compact"/>
              <w:jc w:val="left"/>
            </w:pPr>
            <w:r>
              <w:t xml:space="preserve">Illustrative Use Phase calculation (25 kWh * 0.5 kg CO2e/kWh)</w:t>
            </w:r>
          </w:p>
        </w:tc>
      </w:tr>
      <w:tr>
        <w:tc>
          <w:tcPr/>
          <w:p>
            <w:pPr>
              <w:pStyle w:val="Compact"/>
              <w:jc w:val="left"/>
            </w:pPr>
            <w:r>
              <w:t xml:space="preserve">Category 12: End-of-Life Treatment of Sold Products</w:t>
            </w:r>
          </w:p>
        </w:tc>
        <w:tc>
          <w:tcPr/>
          <w:p>
            <w:pPr>
              <w:pStyle w:val="Compact"/>
              <w:jc w:val="left"/>
            </w:pPr>
            <w:r>
              <w:t xml:space="preserve">Emissions (or avoided emissions) from disposal and recycling.</w:t>
            </w:r>
          </w:p>
        </w:tc>
        <w:tc>
          <w:tcPr/>
          <w:p>
            <w:pPr>
              <w:pStyle w:val="Compact"/>
              <w:jc w:val="left"/>
            </w:pPr>
            <w:r>
              <w:t xml:space="preserve">-1.10</w:t>
            </w:r>
          </w:p>
        </w:tc>
        <w:tc>
          <w:tcPr/>
          <w:p>
            <w:pPr>
              <w:pStyle w:val="Compact"/>
              <w:jc w:val="left"/>
            </w:pPr>
            <w:r>
              <w:t xml:space="preserve">Illustrative End-of-Life calculation (Net benefit)</w:t>
            </w:r>
          </w:p>
        </w:tc>
      </w:tr>
      <w:tr>
        <w:tc>
          <w:tcPr>
            <w:gridSpan w:val="2"/>
          </w:tcPr>
          <w:p>
            <w:pPr>
              <w:pStyle w:val="Compact"/>
              <w:jc w:val="left"/>
            </w:pPr>
            <w:r>
              <w:rPr>
                <w:bCs/>
                <w:b/>
              </w:rPr>
              <w:t xml:space="preserve">Total Illustrative Scope 3 Emissions</w:t>
            </w:r>
          </w:p>
        </w:tc>
        <w:tc>
          <w:tcPr/>
          <w:p>
            <w:pPr>
              <w:pStyle w:val="Compact"/>
              <w:jc w:val="left"/>
            </w:pPr>
            <w:r>
              <w:rPr>
                <w:bCs/>
                <w:b/>
              </w:rPr>
              <w:t xml:space="preserve">25.21 kg CO2e/unit</w:t>
            </w:r>
          </w:p>
        </w:tc>
        <w:tc>
          <w:tcPr/>
          <w:p>
            <w:pPr>
              <w:pStyle w:val="Compact"/>
            </w:pPr>
          </w:p>
        </w:tc>
      </w:tr>
    </w:tbl>
    <w:bookmarkEnd w:id="36"/>
    <w:bookmarkStart w:id="37" w:name="X9b435f9006cf04294f943c0bc3e88ac8be6bd1a"/>
    <w:p>
      <w:pPr>
        <w:pStyle w:val="Heading3"/>
      </w:pPr>
      <w:r>
        <w:t xml:space="preserve">4.4 Total Product Carbon Footprint (Illustrative)</w:t>
      </w:r>
    </w:p>
    <w:p>
      <w:pPr>
        <w:pStyle w:val="FirstParagraph"/>
      </w:pPr>
      <w:r>
        <w:t xml:space="preserve">Summing the illustrative emissions from each scope:</w:t>
      </w:r>
    </w:p>
    <w:p>
      <w:pPr>
        <w:numPr>
          <w:ilvl w:val="0"/>
          <w:numId w:val="1010"/>
        </w:numPr>
        <w:pStyle w:val="Compact"/>
      </w:pPr>
      <w:r>
        <w:t xml:space="preserve">Scope 1: 0.0 kg CO2e/unit</w:t>
      </w:r>
    </w:p>
    <w:p>
      <w:pPr>
        <w:numPr>
          <w:ilvl w:val="0"/>
          <w:numId w:val="1010"/>
        </w:numPr>
        <w:pStyle w:val="Compact"/>
      </w:pPr>
      <w:r>
        <w:t xml:space="preserve">Scope 2: 4.9 kg CO2e/unit</w:t>
      </w:r>
    </w:p>
    <w:p>
      <w:pPr>
        <w:numPr>
          <w:ilvl w:val="0"/>
          <w:numId w:val="1010"/>
        </w:numPr>
        <w:pStyle w:val="Compact"/>
      </w:pPr>
      <w:r>
        <w:t xml:space="preserve">Scope 3: 25.21 kg CO2e/unit</w:t>
      </w:r>
    </w:p>
    <w:p>
      <w:pPr>
        <w:numPr>
          <w:ilvl w:val="0"/>
          <w:numId w:val="1010"/>
        </w:numPr>
        <w:pStyle w:val="Compact"/>
      </w:pPr>
      <w:r>
        <w:t xml:space="preserve">**Total Illustrative PCF (Cradle-to-Grave): 30.11 kg CO2e/unit**</w:t>
      </w:r>
    </w:p>
    <w:p>
      <w:pPr>
        <w:pStyle w:val="FirstParagraph"/>
      </w:pPr>
      <w:r>
        <w:t xml:space="preserve">*Note: The system boundary was defined as "factory_gate" for the primary PCF sum. However, to meet 2026 Scope 3 compliance and for a comprehensive understanding of the total value chain impact, all relevant Scope 3 categories (including Use and End-of-Life) are calculated and included in this total illustrative PCF figure. For a strict "factory_gate" boundary, the total would be the sum of Scope 1, Scope 2, Category 1, Category 4, and Category 5 of Scope 3, which would be 0.0 + 4.9 + 13.55 + 0.16 + 0.10 = 18.71 kg CO2e/unit.*</w:t>
      </w:r>
    </w:p>
    <w:p>
      <w:r>
        <w:pict>
          <v:rect style="width:0;height:1.5pt" o:hralign="center" o:hrstd="t" o:hr="t"/>
        </w:pict>
      </w:r>
    </w:p>
    <w:bookmarkEnd w:id="37"/>
    <w:bookmarkEnd w:id="38"/>
    <w:bookmarkStart w:id="42" w:name="review-report"/>
    <w:p>
      <w:pPr>
        <w:pStyle w:val="Heading2"/>
      </w:pPr>
      <w:r>
        <w:t xml:space="preserve">5. Review &amp; Report</w:t>
      </w:r>
    </w:p>
    <w:bookmarkStart w:id="39" w:name="emission-hotspots-and-reliability"/>
    <w:p>
      <w:pPr>
        <w:pStyle w:val="Heading3"/>
      </w:pPr>
      <w:r>
        <w:t xml:space="preserve">5.1 Emission Hotspots and Reliability</w:t>
      </w:r>
    </w:p>
    <w:p>
      <w:pPr>
        <w:pStyle w:val="FirstParagraph"/>
      </w:pPr>
      <w:r>
        <w:t xml:space="preserve">Based on the illustrative calculations, the primary emission hotspots for jddkkkusem are identified as:</w:t>
      </w:r>
    </w:p>
    <w:p>
      <w:pPr>
        <w:numPr>
          <w:ilvl w:val="0"/>
          <w:numId w:val="1011"/>
        </w:numPr>
        <w:pStyle w:val="Compact"/>
      </w:pPr>
      <w:r>
        <w:t xml:space="preserve">**Purchased Goods &amp; Services (Scope 3, Category 1):** Constitutes a significant portion, highlighting the material intensity of the product and the embodied emissions in its components. Materials like aluminum alloys, integrated circuits, and lithium-ion batteries contribute substantially.</w:t>
      </w:r>
    </w:p>
    <w:p>
      <w:pPr>
        <w:numPr>
          <w:ilvl w:val="0"/>
          <w:numId w:val="1011"/>
        </w:numPr>
        <w:pStyle w:val="Compact"/>
      </w:pPr>
      <w:r>
        <w:t xml:space="preserve">**Use of Sold Products (Scope 3, Category 11):** The energy consumption during the product\'s lifespan is another major contributor, emphasizing the importance of energy efficiency in product design and consumer energy choices.</w:t>
      </w:r>
    </w:p>
    <w:p>
      <w:pPr>
        <w:numPr>
          <w:ilvl w:val="0"/>
          <w:numId w:val="1011"/>
        </w:numPr>
        <w:pStyle w:val="Compact"/>
      </w:pPr>
      <w:r>
        <w:t xml:space="preserve">**Purchased Electricity (Scope 2):** While partially offset by renewable energy usage, the remaining grid electricity consumption in China still represents a notable hotspot.</w:t>
      </w:r>
    </w:p>
    <w:p>
      <w:pPr>
        <w:pStyle w:val="FirstParagraph"/>
      </w:pPr>
      <w:r>
        <w:t xml:space="preserve">The reliability of this report is directly dependent on the accuracy and specificity of the provided data (e.g., BOM, energy intensity, transport distances). The illustrative emission factors used are based on industry-standard databases like Ecoinvent and DEFRA, which provide robust secondary data. However, for a fully verified and highly accurate report, primary data directly from suppliers and detailed operational data from wwnoxpojso would be essential. The 2026 GHG Protocol Scope 3 revisions emphasize data disaggregation by type and disclosure of verification status to improve data quality and transparency.</w:t>
      </w:r>
    </w:p>
    <w:bookmarkEnd w:id="39"/>
    <w:bookmarkStart w:id="40" w:name="circular-economy-impacts"/>
    <w:p>
      <w:pPr>
        <w:pStyle w:val="Heading3"/>
      </w:pPr>
      <w:r>
        <w:t xml:space="preserve">5.2 Circular Economy Impacts</w:t>
      </w:r>
    </w:p>
    <w:p>
      <w:pPr>
        <w:pStyle w:val="FirstParagraph"/>
      </w:pPr>
      <w:r>
        <w:t xml:space="preserve">The incorporation of recyclability (lfdeqnrpgj) and circular/take-back programs (uqdlzgfxmt) is crucial for reflecting circular economy impacts. The illustrative calculation for End-of-Life shows a net benefit, suggesting that effective recycling can significantly reduce the overall PCF by avoiding virgin material production. wwnoxpojso\'s take-back programs, if effectively implemented, would further reduce landfilling and incineration, ensuring higher rates of material recovery and reuse.</w:t>
      </w:r>
    </w:p>
    <w:bookmarkEnd w:id="40"/>
    <w:bookmarkStart w:id="41" w:name="ghg-protocol-compliance"/>
    <w:p>
      <w:pPr>
        <w:pStyle w:val="Heading3"/>
      </w:pPr>
      <w:r>
        <w:t xml:space="preserve">5.3 2026 GHG Protocol Compliance</w:t>
      </w:r>
    </w:p>
    <w:p>
      <w:pPr>
        <w:pStyle w:val="FirstParagraph"/>
      </w:pPr>
      <w:r>
        <w:t xml:space="preserve">This report integrates the key updates for 2026 GHG Protocol compliance:</w:t>
      </w:r>
    </w:p>
    <w:p>
      <w:pPr>
        <w:numPr>
          <w:ilvl w:val="0"/>
          <w:numId w:val="1012"/>
        </w:numPr>
        <w:pStyle w:val="Compact"/>
      </w:pPr>
      <w:r>
        <w:t xml:space="preserve">**95% Scope 3 Coverage:** The analysis has aimed for comprehensive coverage across all relevant Scope 3 categories, ensuring that no significant emission sources are omitted, aligning with the 95% threshold requirement.</w:t>
      </w:r>
    </w:p>
    <w:p>
      <w:pPr>
        <w:numPr>
          <w:ilvl w:val="0"/>
          <w:numId w:val="1012"/>
        </w:numPr>
        <w:pStyle w:val="Compact"/>
      </w:pPr>
      <w:r>
        <w:t xml:space="preserve">**Land Sector and Removals (LSR) Standard:** The applicability of the LSR Standard has been considered, noting that while no direct, significant FLAG emissions were identified from the provided product data, its principles would be applied if relevant bio-based materials or land-intensive processes were part of the supply chain.</w:t>
      </w:r>
    </w:p>
    <w:p>
      <w:r>
        <w:pict>
          <v:rect style="width:0;height:1.5pt" o:hralign="center" o:hrstd="t" o:hr="t"/>
        </w:pict>
      </w:r>
    </w:p>
    <w:bookmarkEnd w:id="41"/>
    <w:bookmarkEnd w:id="42"/>
    <w:bookmarkStart w:id="43" w:name="conclusion-and-recommendations"/>
    <w:p>
      <w:pPr>
        <w:pStyle w:val="Heading2"/>
      </w:pPr>
      <w:r>
        <w:t xml:space="preserve">Conclusion and Recommendations</w:t>
      </w:r>
    </w:p>
    <w:p>
      <w:pPr>
        <w:pStyle w:val="FirstParagraph"/>
      </w:pPr>
      <w:r>
        <w:t xml:space="preserve">The Product Carbon Footprint analysis for jddkkkusem reveals that material acquisition and the use phase are the most significant contributors to its overall emissions. To effectively reduce the PCF of jddkkkusem, wwnoxpojso should focus on:</w:t>
      </w:r>
    </w:p>
    <w:p>
      <w:pPr>
        <w:numPr>
          <w:ilvl w:val="0"/>
          <w:numId w:val="1013"/>
        </w:numPr>
        <w:pStyle w:val="Compact"/>
      </w:pPr>
      <w:r>
        <w:t xml:space="preserve">**Material Optimization:** Explore alternative, lower-carbon materials for components, particularly for high-impact items like aluminum alloys, integrated circuits, and batteries. Engage with suppliers to obtain product-specific primary data and investigate opportunities for using recycled content with lower embodied carbon.</w:t>
      </w:r>
    </w:p>
    <w:p>
      <w:pPr>
        <w:numPr>
          <w:ilvl w:val="0"/>
          <w:numId w:val="1013"/>
        </w:numPr>
        <w:pStyle w:val="Compact"/>
      </w:pPr>
      <w:r>
        <w:t xml:space="preserve">**Energy Efficiency in Use:** Design jddkkkusem to be more energy-efficient during its operational lifespan to reduce Scope 3 (Category 11) emissions. Provide clear guidance to consumers on energy-saving usage patterns.</w:t>
      </w:r>
    </w:p>
    <w:p>
      <w:pPr>
        <w:numPr>
          <w:ilvl w:val="0"/>
          <w:numId w:val="1013"/>
        </w:numPr>
        <w:pStyle w:val="Compact"/>
      </w:pPr>
      <w:r>
        <w:t xml:space="preserve">**Renewable Energy Sourcing:** Increase the percentage of renewable energy used at the manufacturing facility in China. This will directly reduce Scope 2 emissions and contribute to a greener production footprint.</w:t>
      </w:r>
    </w:p>
    <w:p>
      <w:pPr>
        <w:numPr>
          <w:ilvl w:val="0"/>
          <w:numId w:val="1013"/>
        </w:numPr>
        <w:pStyle w:val="Compact"/>
      </w:pPr>
      <w:r>
        <w:t xml:space="preserve">**Enhanced Circularity:** Strengthen existing circular/take-back programs and explore innovative end-of-life solutions to maximize recyclability and material recovery, minimizing waste and maximizing resource utilization.</w:t>
      </w:r>
    </w:p>
    <w:p>
      <w:pPr>
        <w:numPr>
          <w:ilvl w:val="0"/>
          <w:numId w:val="1013"/>
        </w:numPr>
        <w:pStyle w:val="Compact"/>
      </w:pPr>
      <w:r>
        <w:t xml:space="preserve">**Supply Chain Engagement:** Work closely with upstream suppliers (particularly those in Europe) to understand and reduce their own emissions, including their renewable energy procurement and manufacturing processes.</w:t>
      </w:r>
    </w:p>
    <w:p>
      <w:pPr>
        <w:pStyle w:val="FirstParagraph"/>
      </w:pPr>
      <w:r>
        <w:t xml:space="preserve">By addressing these hotspots with targeted interventions, wwnoxpojso can significantly reduce the environmental impact of jddkkkusem, demonstrate leadership in sustainability, and align with evolving regulatory requirements and stakeholder expectations.</w:t>
      </w:r>
    </w:p>
    <w:p>
      <w:pPr>
        <w:pStyle w:val="BodyText"/>
      </w:pPr>
      <w:r>
        <w:t xml:space="preserve">Confidential - Internal Use Only</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jddkkkusem</dc:title>
  <dc:creator/>
  <dc:description>High-detail Product Carbon Footprint (PCF) analysis for jddkkkusem, adhering to GHG Protocol standards by Senior Sustainability Consultant eoypwtydns for wwnoxpojso.</dc:description>
  <dc:language>en</dc:language>
  <cp:keywords/>
  <dcterms:created xsi:type="dcterms:W3CDTF">2026-07-15T03:40:58Z</dcterms:created>
  <dcterms:modified xsi:type="dcterms:W3CDTF">2026-07-15T03:40:58Z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