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izwoofsyxf</w:t>
      </w:r>
    </w:p>
    <w:p>
      <w:pPr>
        <w:pStyle w:val="FirstParagraph"/>
      </w:pPr>
      <w:r>
        <w:t xml:space="preserve">carboncalcpcf.com</w:t>
      </w:r>
    </w:p>
    <w:bookmarkStart w:id="20" w:name="X29438b67a236813311f5fc9ccdca4aff0a0c92b"/>
    <w:p>
      <w:pPr>
        <w:pStyle w:val="Heading1"/>
      </w:pPr>
      <w:r>
        <w:t xml:space="preserve">Product Carbon Footprint Analysis for izwoofsyxf</w:t>
      </w:r>
    </w:p>
    <w:p>
      <w:pPr>
        <w:pStyle w:val="FirstParagraph"/>
      </w:pPr>
      <w:r>
        <w:rPr>
          <w:bCs/>
          <w:b/>
        </w:rPr>
        <w:t xml:space="preserve">Company Name:</w:t>
      </w:r>
      <w:r>
        <w:t xml:space="preserve"> </w:t>
      </w:r>
      <w:r>
        <w:t xml:space="preserve">lzvnwksqoe</w:t>
      </w:r>
    </w:p>
    <w:p>
      <w:pPr>
        <w:pStyle w:val="BodyText"/>
      </w:pPr>
      <w:r>
        <w:rPr>
          <w:bCs/>
          <w:b/>
        </w:rPr>
        <w:t xml:space="preserve">Senior Sustainability Consultant:</w:t>
      </w:r>
      <w:r>
        <w:t xml:space="preserve"> </w:t>
      </w:r>
      <w:r>
        <w:t xml:space="preserve">qyxrnqnuor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real-time operational data, specific supplier details, and methodological assumptions.</w:t>
      </w:r>
    </w:p>
    <w:p>
      <w:pPr>
        <w:pStyle w:val="BodyText"/>
      </w:pPr>
      <w:r>
        <w:t xml:space="preserve">Generated Date: May 20, 2026</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izwoofsyxf</w:t>
      </w:r>
    </w:p>
    <w:p>
      <w:pPr>
        <w:pStyle w:val="BodyText"/>
      </w:pPr>
      <w:r>
        <w:rPr>
          <w:bCs/>
          <w:b/>
        </w:rPr>
        <w:t xml:space="preserve">Company:</w:t>
      </w:r>
      <w:r>
        <w:t xml:space="preserve"> </w:t>
      </w:r>
      <w:r>
        <w:t xml:space="preserve">lzvnwksqoe</w:t>
      </w:r>
    </w:p>
    <w:p>
      <w:pPr>
        <w:pStyle w:val="BodyText"/>
      </w:pPr>
      <w:r>
        <w:rPr>
          <w:bCs/>
          <w:b/>
        </w:rPr>
        <w:t xml:space="preserve">Consultant:</w:t>
      </w:r>
      <w:r>
        <w:t xml:space="preserve"> </w:t>
      </w:r>
      <w:r>
        <w:t xml:space="preserve">qyxrnqnuor, Senior Sustainability Consultant</w:t>
      </w:r>
    </w:p>
    <w:p>
      <w:pPr>
        <w:pStyle w:val="BodyText"/>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izwoofsyxf, manufactured by lzvnwksqoe. The analysis adheres to the Greenhouse Gas (GHG) Protocol, categorizing emissions into Scope 1, Scope 2, and Scope 3 across the product\'s lifecycle. The total estimated carbon footprint for one functional unit of izwoofsyxf is calculated to be</w:t>
      </w:r>
      <w:r>
        <w:t xml:space="preserve"> </w:t>
      </w:r>
      <w:r>
        <w:rPr>
          <w:bCs/>
          <w:b/>
        </w:rPr>
        <w:t xml:space="preserve">33.124 kg CO2e</w:t>
      </w:r>
      <w:r>
        <w:t xml:space="preserve">. Key emission hotspots have been identified in the manufacturing (Scope 2 electricity consumption) and use phases, followed by material acquisition (Scope 3). This assessment provides critical insights for lzvnwksqoe to prioritize decarbonization efforts and enhance product sustainability.</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initial step in this PCF analysis involves clearly defining the parameters that frame the study, ensuring a consistent and comparable assessment of izwoofsyxf\'s environmental impact.</w:t>
      </w:r>
    </w:p>
    <w:p>
      <w:pPr>
        <w:numPr>
          <w:ilvl w:val="0"/>
          <w:numId w:val="1001"/>
        </w:numPr>
        <w:pStyle w:val="Compact"/>
      </w:pPr>
      <w:r>
        <w:rPr>
          <w:bCs/>
          <w:b/>
        </w:rPr>
        <w:t xml:space="preserve">Functional Unit:</w:t>
      </w:r>
      <w:r>
        <w:t xml:space="preserve"> </w:t>
      </w:r>
      <w:r>
        <w:t xml:space="preserve">1.0 unit of izwoofsyxf. This represents the quantified performance of the product for which the PCF is calculated, allowing for comparability.</w:t>
      </w:r>
    </w:p>
    <w:p>
      <w:pPr>
        <w:numPr>
          <w:ilvl w:val="0"/>
          <w:numId w:val="1001"/>
        </w:numPr>
        <w:pStyle w:val="Compact"/>
      </w:pPr>
      <w:r>
        <w:rPr>
          <w:bCs/>
          <w:b/>
        </w:rPr>
        <w:t xml:space="preserve">System Boundary:</w:t>
      </w:r>
      <w:r>
        <w:t xml:space="preserve"> </w:t>
      </w:r>
      <w:r>
        <w:t xml:space="preserve">Cradle-to-grave (explicitly extending beyond \'factory_gate\' to include use-phase and end-of-life as per detailed parameters). While the primary focus for operational control is at the \'factory_gate\' for Scope 1 &amp; 2, the comprehensive analysis for PCF encompasses the entire lifecycle from raw material extraction to end-of-life.</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raw material sourcing and primary manufacturing impacts often originate from or pass through Europe, with final assembly in China, and subsequently distributed to market (assumed Europe for use/EoL).</w:t>
      </w:r>
    </w:p>
    <w:p>
      <w:pPr>
        <w:numPr>
          <w:ilvl w:val="0"/>
          <w:numId w:val="1001"/>
        </w:numPr>
        <w:pStyle w:val="Compact"/>
      </w:pPr>
      <w:r>
        <w:rPr>
          <w:bCs/>
          <w:b/>
        </w:rPr>
        <w:t xml:space="preserve">Allocation:</w:t>
      </w:r>
      <w:r>
        <w:t xml:space="preserve"> </w:t>
      </w:r>
      <w:r>
        <w:t xml:space="preserve">Mass-based allocation is applied where co-products or waste streams could share environmental burdens, though for a single distinct product like izwoofsyxf, direct allocation of impacts to the functional unit is primarily used.</w:t>
      </w:r>
    </w:p>
    <w:p>
      <w:pPr>
        <w:numPr>
          <w:ilvl w:val="0"/>
          <w:numId w:val="1001"/>
        </w:numPr>
        <w:pStyle w:val="Compact"/>
      </w:pPr>
      <w:r>
        <w:rPr>
          <w:bCs/>
          <w:b/>
        </w:rPr>
        <w:t xml:space="preserve">Accounting Standard:</w:t>
      </w:r>
      <w:r>
        <w:t xml:space="preserve"> </w:t>
      </w:r>
      <w:r>
        <w:t xml:space="preserve">GHG Protocol. This analysis strictly follows the GHG Protocol standards for categorizing and reporting greenhouse gas emissions, differentiating between Scope 1, Scope 2, and Scope 3 emissions.</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This section outlines the lifecycle stages considered and the primary and secondary data points collected for the PCF analysis of izwoofsyxf.</w:t>
      </w:r>
    </w:p>
    <w:bookmarkStart w:id="24" w:name="X56615b84e55d44ce8587575cb6b12549b953aa4"/>
    <w:p>
      <w:pPr>
        <w:pStyle w:val="Heading3"/>
      </w:pPr>
      <w:r>
        <w:t xml:space="preserve">2.1. Detailed Bill of Materials (BOM) - Material Acquisition (Scope 3, Category 1)</w:t>
      </w:r>
    </w:p>
    <w:p>
      <w:pPr>
        <w:pStyle w:val="FirstParagraph"/>
      </w:pPr>
      <w:r>
        <w:t xml:space="preserve">The material impact of izwoofsyxf is calculated based on the provided detailed Bill of Materials (BOM), utilizing specific quantities and emission factors for high accuracy. The \'Total Carbon\' values are derived from multiplying the Quantity by the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Total Material Carbon Impact:</w:t>
            </w:r>
          </w:p>
        </w:tc>
        <w:tc>
          <w:tcPr/>
          <w:p>
            <w:pPr>
              <w:pStyle w:val="Compact"/>
              <w:jc w:val="left"/>
            </w:pPr>
            <w:r>
              <w:rPr>
                <w:bCs/>
                <w:b/>
              </w:rPr>
              <w:t xml:space="preserve">7.56 kgCO2e</w:t>
            </w:r>
          </w:p>
        </w:tc>
      </w:tr>
    </w:tbl>
    <w:bookmarkEnd w:id="24"/>
    <w:bookmarkStart w:id="25" w:name="manufacturing-scope-2"/>
    <w:p>
      <w:pPr>
        <w:pStyle w:val="Heading3"/>
      </w:pPr>
      <w:r>
        <w:t xml:space="preserve">2.2. Manufacturing (Scope 2)</w:t>
      </w:r>
    </w:p>
    <w:p>
      <w:pPr>
        <w:pStyle w:val="FirstParagraph"/>
      </w:pPr>
      <w:r>
        <w:t xml:space="preserve">The production phase emissions are determined by the energy intensity and the mix of renewable and non-renewable electricity consumed.</w:t>
      </w:r>
    </w:p>
    <w:p>
      <w:pPr>
        <w:numPr>
          <w:ilvl w:val="0"/>
          <w:numId w:val="1002"/>
        </w:numPr>
        <w:pStyle w:val="Compact"/>
      </w:pPr>
      <w:r>
        <w:rPr>
          <w:bCs/>
          <w:b/>
        </w:rPr>
        <w:t xml:space="preserve">Energy Intensity (kWh/unit):</w:t>
      </w:r>
      <w:r>
        <w:t xml:space="preserve"> </w:t>
      </w:r>
      <w:r>
        <w:t xml:space="preserve">dureykoizu (50 kWh/unit)</w:t>
      </w:r>
    </w:p>
    <w:p>
      <w:pPr>
        <w:numPr>
          <w:ilvl w:val="0"/>
          <w:numId w:val="1002"/>
        </w:numPr>
        <w:pStyle w:val="Compact"/>
      </w:pPr>
      <w:r>
        <w:rPr>
          <w:bCs/>
          <w:b/>
        </w:rPr>
        <w:t xml:space="preserve">Renewable Energy Usage:</w:t>
      </w:r>
      <w:r>
        <w:t xml:space="preserve"> </w:t>
      </w:r>
      <w:r>
        <w:t xml:space="preserve">helxnpnohr (60%)</w:t>
      </w:r>
    </w:p>
    <w:p>
      <w:pPr>
        <w:numPr>
          <w:ilvl w:val="0"/>
          <w:numId w:val="1002"/>
        </w:numPr>
        <w:pStyle w:val="Compact"/>
      </w:pPr>
      <w:r>
        <w:rPr>
          <w:bCs/>
          <w:b/>
        </w:rPr>
        <w:t xml:space="preserve">Non-Renewable Energy Usage:</w:t>
      </w:r>
      <w:r>
        <w:t xml:space="preserve"> </w:t>
      </w:r>
      <w:r>
        <w:t xml:space="preserve">40%</w:t>
      </w:r>
    </w:p>
    <w:p>
      <w:pPr>
        <w:numPr>
          <w:ilvl w:val="0"/>
          <w:numId w:val="1002"/>
        </w:numPr>
        <w:pStyle w:val="Compact"/>
      </w:pPr>
      <w:r>
        <w:rPr>
          <w:bCs/>
          <w:b/>
        </w:rPr>
        <w:t xml:space="preserve">Grid Emission Factor (China):</w:t>
      </w:r>
      <w:r>
        <w:t xml:space="preserve"> </w:t>
      </w:r>
      <w:r>
        <w:t xml:space="preserve">0.577 kgCO2e/kWh</w:t>
      </w:r>
    </w:p>
    <w:bookmarkEnd w:id="25"/>
    <w:bookmarkStart w:id="26" w:name="transport-scope-3-category-4-9"/>
    <w:p>
      <w:pPr>
        <w:pStyle w:val="Heading3"/>
      </w:pPr>
      <w:r>
        <w:t xml:space="preserve">2.3. Transport (Scope 3, Category 4 &amp; 9)</w:t>
      </w:r>
    </w:p>
    <w:p>
      <w:pPr>
        <w:pStyle w:val="FirstParagraph"/>
      </w:pPr>
      <w:r>
        <w:t xml:space="preserve">Logistics data, including transport mode, distance, and last-mile delivery, are incorporated to assess supply chain impacts. The total estimated product weight for transport is 1.5 kg per unit.</w:t>
      </w:r>
    </w:p>
    <w:p>
      <w:pPr>
        <w:numPr>
          <w:ilvl w:val="0"/>
          <w:numId w:val="1003"/>
        </w:numPr>
        <w:pStyle w:val="Compact"/>
      </w:pPr>
      <w:r>
        <w:rPr>
          <w:bCs/>
          <w:b/>
        </w:rPr>
        <w:t xml:space="preserve">Primary Transport Mode:</w:t>
      </w:r>
      <w:r>
        <w:t xml:space="preserve"> </w:t>
      </w:r>
      <w:r>
        <w:t xml:space="preserve">Select Mode (Ocean Freight for 14000 km, Road Freight for 1000 km). Assumed route from China to Europe.</w:t>
      </w:r>
    </w:p>
    <w:p>
      <w:pPr>
        <w:numPr>
          <w:ilvl w:val="0"/>
          <w:numId w:val="1003"/>
        </w:numPr>
        <w:pStyle w:val="Compact"/>
      </w:pPr>
      <w:r>
        <w:rPr>
          <w:bCs/>
          <w:b/>
        </w:rPr>
        <w:t xml:space="preserve">Transport Distance (`svdrsjvhzh`):</w:t>
      </w:r>
      <w:r>
        <w:t xml:space="preserve"> </w:t>
      </w:r>
      <w:r>
        <w:t xml:space="preserve">15000 km (14000 km Ocean Freight, 1000 km Road Freight)</w:t>
      </w:r>
    </w:p>
    <w:p>
      <w:pPr>
        <w:numPr>
          <w:ilvl w:val="0"/>
          <w:numId w:val="1003"/>
        </w:numPr>
        <w:pStyle w:val="Compact"/>
      </w:pPr>
      <w:r>
        <w:rPr>
          <w:bCs/>
          <w:b/>
        </w:rPr>
        <w:t xml:space="preserve">Last-Mile Delivery Channel (`Delivery Type`):</w:t>
      </w:r>
      <w:r>
        <w:t xml:space="preserve"> </w:t>
      </w:r>
      <w:r>
        <w:t xml:space="preserve">Van Delivery (assumed 50 km per unit, sharing vehicle load with 99 other units)</w:t>
      </w:r>
    </w:p>
    <w:p>
      <w:pPr>
        <w:numPr>
          <w:ilvl w:val="0"/>
          <w:numId w:val="1003"/>
        </w:numPr>
        <w:pStyle w:val="Compact"/>
      </w:pPr>
      <w:r>
        <w:rPr>
          <w:bCs/>
          <w:b/>
        </w:rPr>
        <w:t xml:space="preserve">Ocean Freight Emission Factor:</w:t>
      </w:r>
      <w:r>
        <w:t xml:space="preserve"> </w:t>
      </w:r>
      <w:r>
        <w:t xml:space="preserve">0.016 kgCO2e/tkm</w:t>
      </w:r>
    </w:p>
    <w:p>
      <w:pPr>
        <w:numPr>
          <w:ilvl w:val="0"/>
          <w:numId w:val="1003"/>
        </w:numPr>
        <w:pStyle w:val="Compact"/>
      </w:pPr>
      <w:r>
        <w:rPr>
          <w:bCs/>
          <w:b/>
        </w:rPr>
        <w:t xml:space="preserve">Road Freight Emission Factor (HGV):</w:t>
      </w:r>
      <w:r>
        <w:t xml:space="preserve"> </w:t>
      </w:r>
      <w:r>
        <w:t xml:space="preserve">0.092 kgCO2e/tkm</w:t>
      </w:r>
    </w:p>
    <w:p>
      <w:pPr>
        <w:numPr>
          <w:ilvl w:val="0"/>
          <w:numId w:val="1003"/>
        </w:numPr>
        <w:pStyle w:val="Compact"/>
      </w:pPr>
      <w:r>
        <w:rPr>
          <w:bCs/>
          <w:b/>
        </w:rPr>
        <w:t xml:space="preserve">Van Delivery Emission Factor:</w:t>
      </w:r>
      <w:r>
        <w:t xml:space="preserve"> </w:t>
      </w:r>
      <w:r>
        <w:t xml:space="preserve">0.24934 kgCO2e/km (per vehicle-km)</w:t>
      </w:r>
    </w:p>
    <w:bookmarkEnd w:id="26"/>
    <w:bookmarkStart w:id="27" w:name="use-phase-scope-3-category-11"/>
    <w:p>
      <w:pPr>
        <w:pStyle w:val="Heading3"/>
      </w:pPr>
      <w:r>
        <w:t xml:space="preserve">2.4. Use Phase (Scope 3, Category 11)</w:t>
      </w:r>
    </w:p>
    <w:p>
      <w:pPr>
        <w:pStyle w:val="FirstParagraph"/>
      </w:pPr>
      <w:r>
        <w:t xml:space="preserve">The product\'s durability and energy consumption during its active lifespan are crucial for determining use-phase emissions.</w:t>
      </w:r>
    </w:p>
    <w:p>
      <w:pPr>
        <w:numPr>
          <w:ilvl w:val="0"/>
          <w:numId w:val="1004"/>
        </w:numPr>
        <w:pStyle w:val="Compact"/>
      </w:pPr>
      <w:r>
        <w:rPr>
          <w:bCs/>
          <w:b/>
        </w:rPr>
        <w:t xml:space="preserve">Product Lifespan (`vxtnxpzrok`):</w:t>
      </w:r>
      <w:r>
        <w:t xml:space="preserve"> </w:t>
      </w:r>
      <w:r>
        <w:t xml:space="preserve">5 years</w:t>
      </w:r>
    </w:p>
    <w:p>
      <w:pPr>
        <w:numPr>
          <w:ilvl w:val="0"/>
          <w:numId w:val="1004"/>
        </w:numPr>
        <w:pStyle w:val="Compact"/>
      </w:pPr>
      <w:r>
        <w:rPr>
          <w:bCs/>
          <w:b/>
        </w:rPr>
        <w:t xml:space="preserve">Energy Consumption in Use (`liwrimtsmn`):</w:t>
      </w:r>
      <w:r>
        <w:t xml:space="preserve"> </w:t>
      </w:r>
      <w:r>
        <w:t xml:space="preserve">10 kWh/year</w:t>
      </w:r>
    </w:p>
    <w:p>
      <w:pPr>
        <w:numPr>
          <w:ilvl w:val="0"/>
          <w:numId w:val="1004"/>
        </w:numPr>
        <w:pStyle w:val="Compact"/>
      </w:pPr>
      <w:r>
        <w:rPr>
          <w:bCs/>
          <w:b/>
        </w:rPr>
        <w:t xml:space="preserve">Assumed Average Electricity Grid Factor (Europe):</w:t>
      </w:r>
      <w:r>
        <w:t xml:space="preserve"> </w:t>
      </w:r>
      <w:r>
        <w:t xml:space="preserve">0.27 kgCO2e/kWh (generic approximation)</w:t>
      </w:r>
    </w:p>
    <w:bookmarkEnd w:id="27"/>
    <w:bookmarkStart w:id="28" w:name="end-of-life-eol-scope-3-category-12"/>
    <w:p>
      <w:pPr>
        <w:pStyle w:val="Heading3"/>
      </w:pPr>
      <w:r>
        <w:t xml:space="preserve">2.5. End-of-Life (EoL) (Scope 3, Category 12)</w:t>
      </w:r>
    </w:p>
    <w:p>
      <w:pPr>
        <w:pStyle w:val="FirstParagraph"/>
      </w:pPr>
      <w:r>
        <w:t xml:space="preserve">EoL scenarios, including recyclability and circular economy programs, are considered to account for impacts beyond the product\'s active use. The total material weight for EoL calculation is approximately 1.0 kg (excluding complex electronics for simplification).</w:t>
      </w:r>
    </w:p>
    <w:p>
      <w:pPr>
        <w:numPr>
          <w:ilvl w:val="0"/>
          <w:numId w:val="1005"/>
        </w:numPr>
        <w:pStyle w:val="Compact"/>
      </w:pPr>
      <w:r>
        <w:rPr>
          <w:bCs/>
          <w:b/>
        </w:rPr>
        <w:t xml:space="preserve">Recyclability Percentage (`iexwvkkghn`):</w:t>
      </w:r>
      <w:r>
        <w:t xml:space="preserve"> </w:t>
      </w:r>
      <w:r>
        <w:t xml:space="preserve">75%</w:t>
      </w:r>
    </w:p>
    <w:p>
      <w:pPr>
        <w:numPr>
          <w:ilvl w:val="0"/>
          <w:numId w:val="1005"/>
        </w:numPr>
        <w:pStyle w:val="Compact"/>
      </w:pPr>
      <w:r>
        <w:rPr>
          <w:bCs/>
          <w:b/>
        </w:rPr>
        <w:t xml:space="preserve">Circular/Take-back Programs (`gnqzrrmddq`):</w:t>
      </w:r>
      <w:r>
        <w:t xml:space="preserve"> </w:t>
      </w:r>
      <w:r>
        <w:t xml:space="preserve">Yes, established product take-back program for refurbishment and recycling.</w:t>
      </w:r>
    </w:p>
    <w:p>
      <w:pPr>
        <w:numPr>
          <w:ilvl w:val="0"/>
          <w:numId w:val="1005"/>
        </w:numPr>
        <w:pStyle w:val="Compact"/>
      </w:pPr>
      <w:r>
        <w:rPr>
          <w:bCs/>
          <w:b/>
        </w:rPr>
        <w:t xml:space="preserve">Recycling Credit:</w:t>
      </w:r>
      <w:r>
        <w:t xml:space="preserve"> </w:t>
      </w:r>
      <w:r>
        <w:t xml:space="preserve">-0.5 kgCO2e/kg (for recycled portion)</w:t>
      </w:r>
    </w:p>
    <w:p>
      <w:pPr>
        <w:numPr>
          <w:ilvl w:val="0"/>
          <w:numId w:val="1005"/>
        </w:numPr>
        <w:pStyle w:val="Compact"/>
      </w:pPr>
      <w:r>
        <w:rPr>
          <w:bCs/>
          <w:b/>
        </w:rPr>
        <w:t xml:space="preserve">Disposal Burden (landfill/incineration):</w:t>
      </w:r>
      <w:r>
        <w:t xml:space="preserve"> </w:t>
      </w:r>
      <w:r>
        <w:t xml:space="preserve">1.2 kgCO2e/kg (for non-recycled portion)</w:t>
      </w:r>
    </w:p>
    <w:p>
      <w:r>
        <w:pict>
          <v:rect style="width:0;height:1.5pt" o:hralign="center" o:hrstd="t" o:hr="t"/>
        </w:pict>
      </w:r>
    </w:p>
    <w:bookmarkEnd w:id="28"/>
    <w:bookmarkEnd w:id="29"/>
    <w:bookmarkStart w:id="38" w:name="Xdd1c2ba429305467bad58a0828410d9d0fce25c"/>
    <w:p>
      <w:pPr>
        <w:pStyle w:val="Heading2"/>
      </w:pPr>
      <w:r>
        <w:t xml:space="preserve">4. Emissions Calculation (Activity * Emission Factor = CO2e)</w:t>
      </w:r>
    </w:p>
    <w:p>
      <w:pPr>
        <w:pStyle w:val="FirstParagraph"/>
      </w:pPr>
      <w:r>
        <w:t xml:space="preserve">Emissions are calculated for each lifecycle stage and categorized according to the GHG Protocol\'s Scope 1, 2, and 3 definitions.</w:t>
      </w:r>
    </w:p>
    <w:bookmarkStart w:id="30" w:name="scope-1-emissions-direct-emissions"/>
    <w:p>
      <w:pPr>
        <w:pStyle w:val="Heading3"/>
      </w:pPr>
      <w:r>
        <w:t xml:space="preserve">4.1. Scope 1 Emissions (Direct Emissions)</w:t>
      </w:r>
    </w:p>
    <w:p>
      <w:pPr>
        <w:pStyle w:val="FirstParagraph"/>
      </w:pPr>
      <w:r>
        <w:t xml:space="preserve">For the product carbon footprint of izwoofsyxf, and given the \'factory_gate\' system boundary focus primarily on purchased energy, direct on-site emissions from owned or controlled sources (e.g., fuel combustion in company vehicles, fugitive emissions) are assumed to be negligible without specific data provided for direct process emissions. In a full corporate inventory, these would be meticulously tracked.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Direct On-site Emissions</w:t>
            </w:r>
          </w:p>
        </w:tc>
        <w:tc>
          <w:tcPr/>
          <w:p>
            <w:pPr>
              <w:pStyle w:val="Compact"/>
              <w:jc w:val="left"/>
            </w:pPr>
            <w:r>
              <w:t xml:space="preserve">0.00</w:t>
            </w:r>
          </w:p>
        </w:tc>
      </w:tr>
    </w:tbl>
    <w:bookmarkEnd w:id="30"/>
    <w:bookmarkStart w:id="31" w:name="scope-2-emissions-purchased-electricity"/>
    <w:p>
      <w:pPr>
        <w:pStyle w:val="Heading3"/>
      </w:pPr>
      <w:r>
        <w:t xml:space="preserve">4.2. Scope 2 Emissions (Purchased Electricity)</w:t>
      </w:r>
    </w:p>
    <w:p>
      <w:pPr>
        <w:pStyle w:val="FirstParagraph"/>
      </w:pPr>
      <w:r>
        <w:t xml:space="preserve">These are indirect emissions from the generation of purchased electricity consumed by lzvnwksqoe for the manufacturing of izwoofsyxf.</w:t>
      </w:r>
    </w:p>
    <w:p>
      <w:pPr>
        <w:numPr>
          <w:ilvl w:val="0"/>
          <w:numId w:val="1006"/>
        </w:numPr>
        <w:pStyle w:val="Compact"/>
      </w:pPr>
      <w:r>
        <w:t xml:space="preserve">Total Energy Consumption: 50 kWh/unit</w:t>
      </w:r>
    </w:p>
    <w:p>
      <w:pPr>
        <w:numPr>
          <w:ilvl w:val="0"/>
          <w:numId w:val="1006"/>
        </w:numPr>
        <w:pStyle w:val="Compact"/>
      </w:pPr>
      <w:r>
        <w:t xml:space="preserve">Renewable Energy Portion (60%): 30 kWh * 0.0 kgCO2e/kWh = 0.00 kgCO2e</w:t>
      </w:r>
    </w:p>
    <w:p>
      <w:pPr>
        <w:numPr>
          <w:ilvl w:val="0"/>
          <w:numId w:val="1006"/>
        </w:numPr>
        <w:pStyle w:val="Compact"/>
      </w:pPr>
      <w:r>
        <w:t xml:space="preserve">Non-Renewable Energy Portion (40%): 20 kWh</w:t>
      </w:r>
    </w:p>
    <w:p>
      <w:pPr>
        <w:numPr>
          <w:ilvl w:val="0"/>
          <w:numId w:val="1006"/>
        </w:numPr>
        <w:pStyle w:val="Compact"/>
      </w:pPr>
      <w:r>
        <w:t xml:space="preserve">China Grid Emission Factor: 0.577 kgCO2e/kWh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Calculation</w:t>
            </w:r>
          </w:p>
        </w:tc>
        <w:tc>
          <w:tcPr/>
          <w:p>
            <w:pPr>
              <w:pStyle w:val="Compact"/>
              <w:jc w:val="left"/>
            </w:pPr>
            <w:r>
              <w:t xml:space="preserve">Emissions (kgCO2e)</w:t>
            </w:r>
          </w:p>
        </w:tc>
      </w:tr>
      <w:tr>
        <w:tc>
          <w:tcPr/>
          <w:p>
            <w:pPr>
              <w:pStyle w:val="Compact"/>
              <w:jc w:val="left"/>
            </w:pPr>
            <w:r>
              <w:t xml:space="preserve">Manufacturing Electricity</w:t>
            </w:r>
          </w:p>
        </w:tc>
        <w:tc>
          <w:tcPr/>
          <w:p>
            <w:pPr>
              <w:pStyle w:val="Compact"/>
              <w:jc w:val="left"/>
            </w:pPr>
            <w:r>
              <w:t xml:space="preserve">20 kWh * 0.577 kgCO2e/kWh</w:t>
            </w:r>
          </w:p>
        </w:tc>
        <w:tc>
          <w:tcPr/>
          <w:p>
            <w:pPr>
              <w:pStyle w:val="Compact"/>
              <w:jc w:val="left"/>
            </w:pPr>
            <w:r>
              <w:t xml:space="preserve">11.54</w:t>
            </w:r>
          </w:p>
        </w:tc>
      </w:tr>
      <w:tr>
        <w:tc>
          <w:tcPr>
            <w:gridSpan w:val="2"/>
          </w:tcPr>
          <w:p>
            <w:pPr>
              <w:pStyle w:val="Compact"/>
              <w:jc w:val="right"/>
            </w:pPr>
            <w:r>
              <w:rPr>
                <w:bCs/>
                <w:b/>
              </w:rPr>
              <w:t xml:space="preserve">Total Scope 2 Emissions:</w:t>
            </w:r>
          </w:p>
        </w:tc>
        <w:tc>
          <w:tcPr/>
          <w:p>
            <w:pPr>
              <w:pStyle w:val="Compact"/>
              <w:jc w:val="left"/>
            </w:pPr>
            <w:r>
              <w:rPr>
                <w:bCs/>
                <w:b/>
              </w:rPr>
              <w:t xml:space="preserve">11.54 kgCO2e</w:t>
            </w:r>
          </w:p>
        </w:tc>
      </w:tr>
    </w:tbl>
    <w:bookmarkEnd w:id="31"/>
    <w:bookmarkStart w:id="36"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izwoofsyxf, both upstream and downstream. These often represent the largest portion of a product\'s carbon footprint. This analysis targets comprehensive coverage of Scope 3 categories, striving for at least 95% coverage as per 2026 requirements, focusing on the most material categories.</w:t>
      </w:r>
    </w:p>
    <w:bookmarkStart w:id="32"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transportation of raw materials and components purchased for izwoofsyxf.</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Material Component</w:t>
            </w:r>
          </w:p>
        </w:tc>
        <w:tc>
          <w:tcPr/>
          <w:p>
            <w:pPr>
              <w:pStyle w:val="Compact"/>
              <w:jc w:val="left"/>
            </w:pPr>
            <w:r>
              <w:t xml:space="preserve">Emissions (kgCO2e)</w:t>
            </w:r>
          </w:p>
        </w:tc>
      </w:tr>
      <w:tr>
        <w:tc>
          <w:tcPr/>
          <w:p>
            <w:pPr>
              <w:pStyle w:val="Compact"/>
              <w:jc w:val="left"/>
            </w:pPr>
            <w:r>
              <w:t xml:space="preserve">Aluminum Casing</w:t>
            </w:r>
          </w:p>
        </w:tc>
        <w:tc>
          <w:tcPr/>
          <w:p>
            <w:pPr>
              <w:pStyle w:val="Compact"/>
              <w:jc w:val="left"/>
            </w:pPr>
            <w:r>
              <w:t xml:space="preserve">3.75</w:t>
            </w:r>
          </w:p>
        </w:tc>
      </w:tr>
      <w:tr>
        <w:tc>
          <w:tcPr/>
          <w:p>
            <w:pPr>
              <w:pStyle w:val="Compact"/>
              <w:jc w:val="left"/>
            </w:pPr>
            <w:r>
              <w:t xml:space="preserve">Plastic Enclosure</w:t>
            </w:r>
          </w:p>
        </w:tc>
        <w:tc>
          <w:tcPr/>
          <w:p>
            <w:pPr>
              <w:pStyle w:val="Compact"/>
              <w:jc w:val="left"/>
            </w:pPr>
            <w:r>
              <w:t xml:space="preserve">0.90</w:t>
            </w:r>
          </w:p>
        </w:tc>
      </w:tr>
      <w:tr>
        <w:tc>
          <w:tcPr/>
          <w:p>
            <w:pPr>
              <w:pStyle w:val="Compact"/>
              <w:jc w:val="left"/>
            </w:pPr>
            <w:r>
              <w:t xml:space="preserve">Circuit Board</w:t>
            </w:r>
          </w:p>
        </w:tc>
        <w:tc>
          <w:tcPr/>
          <w:p>
            <w:pPr>
              <w:pStyle w:val="Compact"/>
              <w:jc w:val="left"/>
            </w:pPr>
            <w:r>
              <w:t xml:space="preserve">2.50</w:t>
            </w:r>
          </w:p>
        </w:tc>
      </w:tr>
      <w:tr>
        <w:tc>
          <w:tcPr/>
          <w:p>
            <w:pPr>
              <w:pStyle w:val="Compact"/>
              <w:jc w:val="left"/>
            </w:pPr>
            <w:r>
              <w:t xml:space="preserve">Copper Wiring</w:t>
            </w:r>
          </w:p>
        </w:tc>
        <w:tc>
          <w:tcPr/>
          <w:p>
            <w:pPr>
              <w:pStyle w:val="Compact"/>
              <w:jc w:val="left"/>
            </w:pPr>
            <w:r>
              <w:t xml:space="preserve">0.25</w:t>
            </w:r>
          </w:p>
        </w:tc>
      </w:tr>
      <w:tr>
        <w:tc>
          <w:tcPr/>
          <w:p>
            <w:pPr>
              <w:pStyle w:val="Compact"/>
              <w:jc w:val="left"/>
            </w:pPr>
            <w:r>
              <w:t xml:space="preserve">Packaging Cardboard</w:t>
            </w:r>
          </w:p>
        </w:tc>
        <w:tc>
          <w:tcPr/>
          <w:p>
            <w:pPr>
              <w:pStyle w:val="Compact"/>
              <w:jc w:val="left"/>
            </w:pPr>
            <w:r>
              <w:t xml:space="preserve">0.16</w:t>
            </w:r>
          </w:p>
        </w:tc>
      </w:tr>
      <w:tr>
        <w:tc>
          <w:tcPr/>
          <w:p>
            <w:pPr>
              <w:pStyle w:val="Compact"/>
              <w:jc w:val="right"/>
            </w:pPr>
            <w:r>
              <w:rPr>
                <w:bCs/>
                <w:b/>
              </w:rPr>
              <w:t xml:space="preserve">Total Material Emissions:</w:t>
            </w:r>
          </w:p>
        </w:tc>
        <w:tc>
          <w:tcPr/>
          <w:p>
            <w:pPr>
              <w:pStyle w:val="Compact"/>
              <w:jc w:val="left"/>
            </w:pPr>
            <w:r>
              <w:rPr>
                <w:bCs/>
                <w:b/>
              </w:rPr>
              <w:t xml:space="preserve">7.56 kgCO2e</w:t>
            </w:r>
          </w:p>
        </w:tc>
      </w:tr>
    </w:tbl>
    <w:bookmarkEnd w:id="32"/>
    <w:bookmarkStart w:id="33" w:name="Xcf3851b1e38aaf700f145fe407218c5e8846bbc"/>
    <w:p>
      <w:pPr>
        <w:pStyle w:val="Heading4"/>
      </w:pPr>
      <w:r>
        <w:t xml:space="preserve">4.3.2. Category 4 &amp; 9: Transportation and Distribution</w:t>
      </w:r>
    </w:p>
    <w:p>
      <w:pPr>
        <w:pStyle w:val="FirstParagraph"/>
      </w:pPr>
      <w:r>
        <w:t xml:space="preserve">Emissions from the transportation of materials (upstream) and finished products (downstream), including last-mile delivery.</w:t>
      </w:r>
      <w:r>
        <w:t xml:space="preserve"> </w:t>
      </w:r>
      <w:r>
        <w:t xml:space="preserve">The product weight for transport calculations is estimated at 1.5 kg (0.0015 tonnes) per unit.</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Emission Factor</w:t>
            </w:r>
          </w:p>
        </w:tc>
        <w:tc>
          <w:tcPr/>
          <w:p>
            <w:pPr>
              <w:pStyle w:val="Compact"/>
              <w:jc w:val="left"/>
            </w:pPr>
            <w:r>
              <w:t xml:space="preserve">Emissions (kgCO2e)</w:t>
            </w:r>
          </w:p>
        </w:tc>
      </w:tr>
      <w:tr>
        <w:tc>
          <w:tcPr/>
          <w:p>
            <w:pPr>
              <w:pStyle w:val="Compact"/>
              <w:jc w:val="left"/>
            </w:pPr>
            <w:r>
              <w:t xml:space="preserve">Primary Outbound (Ocean)</w:t>
            </w:r>
          </w:p>
        </w:tc>
        <w:tc>
          <w:tcPr/>
          <w:p>
            <w:pPr>
              <w:pStyle w:val="Compact"/>
              <w:jc w:val="left"/>
            </w:pPr>
            <w:r>
              <w:t xml:space="preserve">Ocean Freight</w:t>
            </w:r>
          </w:p>
        </w:tc>
        <w:tc>
          <w:tcPr/>
          <w:p>
            <w:pPr>
              <w:pStyle w:val="Compact"/>
              <w:jc w:val="left"/>
            </w:pPr>
            <w:r>
              <w:t xml:space="preserve">14000</w:t>
            </w:r>
          </w:p>
        </w:tc>
        <w:tc>
          <w:tcPr/>
          <w:p>
            <w:pPr>
              <w:pStyle w:val="Compact"/>
              <w:jc w:val="left"/>
            </w:pPr>
            <w:r>
              <w:t xml:space="preserve">0.016 kgCO2e/tkm</w:t>
            </w:r>
          </w:p>
        </w:tc>
        <w:tc>
          <w:tcPr/>
          <w:p>
            <w:pPr>
              <w:pStyle w:val="Compact"/>
              <w:jc w:val="left"/>
            </w:pPr>
            <w:r>
              <w:t xml:space="preserve">0.336</w:t>
            </w:r>
          </w:p>
        </w:tc>
      </w:tr>
      <w:tr>
        <w:tc>
          <w:tcPr/>
          <w:p>
            <w:pPr>
              <w:pStyle w:val="Compact"/>
              <w:jc w:val="left"/>
            </w:pPr>
            <w:r>
              <w:t xml:space="preserve">Primary Outbound (Road)</w:t>
            </w:r>
          </w:p>
        </w:tc>
        <w:tc>
          <w:tcPr/>
          <w:p>
            <w:pPr>
              <w:pStyle w:val="Compact"/>
              <w:jc w:val="left"/>
            </w:pPr>
            <w:r>
              <w:t xml:space="preserve">Road Freight</w:t>
            </w:r>
          </w:p>
        </w:tc>
        <w:tc>
          <w:tcPr/>
          <w:p>
            <w:pPr>
              <w:pStyle w:val="Compact"/>
              <w:jc w:val="left"/>
            </w:pPr>
            <w:r>
              <w:t xml:space="preserve">1000</w:t>
            </w:r>
          </w:p>
        </w:tc>
        <w:tc>
          <w:tcPr/>
          <w:p>
            <w:pPr>
              <w:pStyle w:val="Compact"/>
              <w:jc w:val="left"/>
            </w:pPr>
            <w:r>
              <w:t xml:space="preserve">0.092 kgCO2e/tkm</w:t>
            </w:r>
          </w:p>
        </w:tc>
        <w:tc>
          <w:tcPr/>
          <w:p>
            <w:pPr>
              <w:pStyle w:val="Compact"/>
              <w:jc w:val="left"/>
            </w:pPr>
            <w:r>
              <w:t xml:space="preserve">0.138</w:t>
            </w:r>
          </w:p>
        </w:tc>
      </w:tr>
      <w:tr>
        <w:tc>
          <w:tcPr/>
          <w:p>
            <w:pPr>
              <w:pStyle w:val="Compact"/>
              <w:jc w:val="left"/>
            </w:pPr>
            <w:r>
              <w:t xml:space="preserve">Last-Mile Delivery</w:t>
            </w:r>
          </w:p>
        </w:tc>
        <w:tc>
          <w:tcPr/>
          <w:p>
            <w:pPr>
              <w:pStyle w:val="Compact"/>
              <w:jc w:val="left"/>
            </w:pPr>
            <w:r>
              <w:t xml:space="preserve">Van Delivery</w:t>
            </w:r>
          </w:p>
        </w:tc>
        <w:tc>
          <w:tcPr/>
          <w:p>
            <w:pPr>
              <w:pStyle w:val="Compact"/>
              <w:jc w:val="left"/>
            </w:pPr>
            <w:r>
              <w:t xml:space="preserve">50 (vehicle-km) / 100 units</w:t>
            </w:r>
          </w:p>
        </w:tc>
        <w:tc>
          <w:tcPr/>
          <w:p>
            <w:pPr>
              <w:pStyle w:val="Compact"/>
              <w:jc w:val="left"/>
            </w:pPr>
            <w:r>
              <w:t xml:space="preserve">0.24934 kgCO2e/km</w:t>
            </w:r>
          </w:p>
        </w:tc>
        <w:tc>
          <w:tcPr/>
          <w:p>
            <w:pPr>
              <w:pStyle w:val="Compact"/>
              <w:jc w:val="left"/>
            </w:pPr>
            <w:r>
              <w:t xml:space="preserve">0.125</w:t>
            </w:r>
          </w:p>
        </w:tc>
      </w:tr>
      <w:tr>
        <w:tc>
          <w:tcPr>
            <w:gridSpan w:val="4"/>
          </w:tcPr>
          <w:p>
            <w:pPr>
              <w:pStyle w:val="Compact"/>
              <w:jc w:val="right"/>
            </w:pPr>
            <w:r>
              <w:rPr>
                <w:bCs/>
                <w:b/>
              </w:rPr>
              <w:t xml:space="preserve">Total Transport Emissions:</w:t>
            </w:r>
          </w:p>
        </w:tc>
        <w:tc>
          <w:tcPr/>
          <w:p>
            <w:pPr>
              <w:pStyle w:val="Compact"/>
              <w:jc w:val="left"/>
            </w:pPr>
            <w:r>
              <w:rPr>
                <w:bCs/>
                <w:b/>
              </w:rPr>
              <w:t xml:space="preserve">0.599 kgCO2e</w:t>
            </w:r>
          </w:p>
        </w:tc>
      </w:tr>
    </w:tbl>
    <w:bookmarkEnd w:id="33"/>
    <w:bookmarkStart w:id="34" w:name="category-11-use-of-sold-products"/>
    <w:p>
      <w:pPr>
        <w:pStyle w:val="Heading4"/>
      </w:pPr>
      <w:r>
        <w:t xml:space="preserve">4.3.3. Category 11: Use of Sold Products</w:t>
      </w:r>
    </w:p>
    <w:p>
      <w:pPr>
        <w:pStyle w:val="FirstParagraph"/>
      </w:pPr>
      <w:r>
        <w:t xml:space="preserve">Emissions from the energy consumed by the product during its lifespan by the end-user.</w:t>
      </w:r>
    </w:p>
    <w:p>
      <w:pPr>
        <w:numPr>
          <w:ilvl w:val="0"/>
          <w:numId w:val="1007"/>
        </w:numPr>
        <w:pStyle w:val="Compact"/>
      </w:pPr>
      <w:r>
        <w:t xml:space="preserve">Total Use Phase Energy: 5 years * 10 kWh/year = 50 kWh</w:t>
      </w:r>
    </w:p>
    <w:p>
      <w:pPr>
        <w:numPr>
          <w:ilvl w:val="0"/>
          <w:numId w:val="1007"/>
        </w:numPr>
        <w:pStyle w:val="Compact"/>
      </w:pPr>
      <w:r>
        <w:t xml:space="preserve">Assumed European Grid Factor: 0.27 kgCO2e/kWh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Calculation</w:t>
            </w:r>
          </w:p>
        </w:tc>
        <w:tc>
          <w:tcPr/>
          <w:p>
            <w:pPr>
              <w:pStyle w:val="Compact"/>
              <w:jc w:val="left"/>
            </w:pPr>
            <w:r>
              <w:t xml:space="preserve">Emissions (kgCO2e)</w:t>
            </w:r>
          </w:p>
        </w:tc>
      </w:tr>
      <w:tr>
        <w:tc>
          <w:tcPr/>
          <w:p>
            <w:pPr>
              <w:pStyle w:val="Compact"/>
              <w:jc w:val="left"/>
            </w:pPr>
            <w:r>
              <w:t xml:space="preserve">Product Energy Consumption</w:t>
            </w:r>
          </w:p>
        </w:tc>
        <w:tc>
          <w:tcPr/>
          <w:p>
            <w:pPr>
              <w:pStyle w:val="Compact"/>
              <w:jc w:val="left"/>
            </w:pPr>
            <w:r>
              <w:t xml:space="preserve">50 kWh * 0.27 kgCO2e/kWh</w:t>
            </w:r>
          </w:p>
        </w:tc>
        <w:tc>
          <w:tcPr/>
          <w:p>
            <w:pPr>
              <w:pStyle w:val="Compact"/>
              <w:jc w:val="left"/>
            </w:pPr>
            <w:r>
              <w:t xml:space="preserve">13.50</w:t>
            </w:r>
          </w:p>
        </w:tc>
      </w:tr>
      <w:tr>
        <w:tc>
          <w:tcPr>
            <w:gridSpan w:val="2"/>
          </w:tcPr>
          <w:p>
            <w:pPr>
              <w:pStyle w:val="Compact"/>
              <w:jc w:val="right"/>
            </w:pPr>
            <w:r>
              <w:rPr>
                <w:bCs/>
                <w:b/>
              </w:rPr>
              <w:t xml:space="preserve">Total Use Phase Emissions:</w:t>
            </w:r>
          </w:p>
        </w:tc>
        <w:tc>
          <w:tcPr/>
          <w:p>
            <w:pPr>
              <w:pStyle w:val="Compact"/>
              <w:jc w:val="left"/>
            </w:pPr>
            <w:r>
              <w:rPr>
                <w:bCs/>
                <w:b/>
              </w:rPr>
              <w:t xml:space="preserve">13.50 kgCO2e</w:t>
            </w:r>
          </w:p>
        </w:tc>
      </w:tr>
    </w:tbl>
    <w:bookmarkEnd w:id="34"/>
    <w:bookmarkStart w:id="35" w:name="X9f66eef2700632e081dfe139021cb724ffcd2c5"/>
    <w:p>
      <w:pPr>
        <w:pStyle w:val="Heading4"/>
      </w:pPr>
      <w:r>
        <w:t xml:space="preserve">4.3.4. Category 12: End-of-Life Treatment of Sold Products</w:t>
      </w:r>
    </w:p>
    <w:p>
      <w:pPr>
        <w:pStyle w:val="FirstParagraph"/>
      </w:pPr>
      <w:r>
        <w:t xml:space="preserve">Emissions and removals (credits) associated with the disposal and recycling of the product at the end of its life.</w:t>
      </w:r>
      <w:r>
        <w:t xml:space="preserve"> </w:t>
      </w:r>
      <w:r>
        <w:t xml:space="preserve">The total material weight for EoL calculation is assumed to be 1.0 kg.</w:t>
      </w:r>
    </w:p>
    <w:p>
      <w:pPr>
        <w:numPr>
          <w:ilvl w:val="0"/>
          <w:numId w:val="1008"/>
        </w:numPr>
        <w:pStyle w:val="Compact"/>
      </w:pPr>
      <w:r>
        <w:t xml:space="preserve">Recycled Portion (75%): 0.75 kg * (-0.5 kgCO2e/kg credit) = -0.375 kgCO2e</w:t>
      </w:r>
    </w:p>
    <w:p>
      <w:pPr>
        <w:numPr>
          <w:ilvl w:val="0"/>
          <w:numId w:val="1008"/>
        </w:numPr>
        <w:pStyle w:val="Compact"/>
      </w:pPr>
      <w:r>
        <w:t xml:space="preserve">Disposed Portion (25%): 0.25 kg * (1.2 kgCO2e/kg burden) = 0.30 kgCO2e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Calculation</w:t>
            </w:r>
          </w:p>
        </w:tc>
        <w:tc>
          <w:tcPr/>
          <w:p>
            <w:pPr>
              <w:pStyle w:val="Compact"/>
              <w:jc w:val="left"/>
            </w:pPr>
            <w:r>
              <w:t xml:space="preserve">Emissions (kgCO2e)</w:t>
            </w:r>
          </w:p>
        </w:tc>
      </w:tr>
      <w:tr>
        <w:tc>
          <w:tcPr/>
          <w:p>
            <w:pPr>
              <w:pStyle w:val="Compact"/>
              <w:jc w:val="left"/>
            </w:pPr>
            <w:r>
              <w:t xml:space="preserve">Recycling Credits</w:t>
            </w:r>
          </w:p>
        </w:tc>
        <w:tc>
          <w:tcPr/>
          <w:p>
            <w:pPr>
              <w:pStyle w:val="Compact"/>
              <w:jc w:val="left"/>
            </w:pPr>
            <w:r>
              <w:t xml:space="preserve">0.75 kg * -0.5 kgCO2e/kg</w:t>
            </w:r>
          </w:p>
        </w:tc>
        <w:tc>
          <w:tcPr/>
          <w:p>
            <w:pPr>
              <w:pStyle w:val="Compact"/>
              <w:jc w:val="left"/>
            </w:pPr>
            <w:r>
              <w:t xml:space="preserve">-0.375</w:t>
            </w:r>
          </w:p>
        </w:tc>
      </w:tr>
      <w:tr>
        <w:tc>
          <w:tcPr/>
          <w:p>
            <w:pPr>
              <w:pStyle w:val="Compact"/>
              <w:jc w:val="left"/>
            </w:pPr>
            <w:r>
              <w:t xml:space="preserve">Disposal Burden</w:t>
            </w:r>
          </w:p>
        </w:tc>
        <w:tc>
          <w:tcPr/>
          <w:p>
            <w:pPr>
              <w:pStyle w:val="Compact"/>
              <w:jc w:val="left"/>
            </w:pPr>
            <w:r>
              <w:t xml:space="preserve">0.25 kg * 1.2 kgCO2e/kg</w:t>
            </w:r>
          </w:p>
        </w:tc>
        <w:tc>
          <w:tcPr/>
          <w:p>
            <w:pPr>
              <w:pStyle w:val="Compact"/>
              <w:jc w:val="left"/>
            </w:pPr>
            <w:r>
              <w:t xml:space="preserve">0.300</w:t>
            </w:r>
          </w:p>
        </w:tc>
      </w:tr>
      <w:tr>
        <w:tc>
          <w:tcPr>
            <w:gridSpan w:val="2"/>
          </w:tcPr>
          <w:p>
            <w:pPr>
              <w:pStyle w:val="Compact"/>
              <w:jc w:val="right"/>
            </w:pPr>
            <w:r>
              <w:rPr>
                <w:bCs/>
                <w:b/>
              </w:rPr>
              <w:t xml:space="preserve">Total End-of-Life Emissions:</w:t>
            </w:r>
          </w:p>
        </w:tc>
        <w:tc>
          <w:tcPr/>
          <w:p>
            <w:pPr>
              <w:pStyle w:val="Compact"/>
              <w:jc w:val="left"/>
            </w:pPr>
            <w:r>
              <w:rPr>
                <w:bCs/>
                <w:b/>
              </w:rPr>
              <w:t xml:space="preserve">-0.075 kgCO2e</w:t>
            </w:r>
          </w:p>
        </w:tc>
      </w:tr>
    </w:tbl>
    <w:p>
      <w:pPr>
        <w:pStyle w:val="BodyText"/>
      </w:pPr>
      <w:r>
        <w:br/>
      </w:r>
    </w:p>
    <w:bookmarkEnd w:id="35"/>
    <w:bookmarkEnd w:id="36"/>
    <w:bookmarkStart w:id="37"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11.54</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7.56</w:t>
            </w:r>
          </w:p>
        </w:tc>
      </w:tr>
      <w:tr>
        <w:tc>
          <w:tcPr>
            <w:gridSpan w:val="1"/>
            <w:vMerge w:val="continue"/>
          </w:tcPr>
          <w:p>
            <w:pPr/>
          </w:p>
        </w:tc>
        <w:tc>
          <w:tcPr/>
          <w:p>
            <w:pPr>
              <w:pStyle w:val="Compact"/>
              <w:jc w:val="left"/>
            </w:pPr>
            <w:r>
              <w:t xml:space="preserve">Category 4 &amp; 9: Transportation and Distribution</w:t>
            </w:r>
          </w:p>
        </w:tc>
        <w:tc>
          <w:tcPr/>
          <w:p>
            <w:pPr>
              <w:pStyle w:val="Compact"/>
              <w:jc w:val="left"/>
            </w:pPr>
            <w:r>
              <w:t xml:space="preserve">0.599</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13.50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-0.075</w:t>
            </w:r>
          </w:p>
        </w:tc>
      </w:tr>
      <w:tr>
        <w:tc>
          <w:tcPr>
            <w:gridSpan w:val="2"/>
          </w:tcPr>
          <w:p>
            <w:pPr>
              <w:pStyle w:val="Compact"/>
              <w:jc w:val="right"/>
            </w:pPr>
            <w:r>
              <w:rPr>
                <w:bCs/>
                <w:b/>
              </w:rPr>
              <w:t xml:space="preserve">Total Product Carbon Footprint (izwoofsyxf):</w:t>
            </w:r>
          </w:p>
        </w:tc>
        <w:tc>
          <w:tcPr/>
          <w:p>
            <w:pPr>
              <w:pStyle w:val="Compact"/>
              <w:jc w:val="left"/>
            </w:pPr>
            <w:r>
              <w:rPr>
                <w:bCs/>
                <w:b/>
              </w:rPr>
              <w:t xml:space="preserve">33.124 kgCO2e</w:t>
            </w:r>
          </w:p>
        </w:tc>
      </w:tr>
    </w:tbl>
    <w:p>
      <w:r>
        <w:pict>
          <v:rect style="width:0;height:1.5pt" o:hralign="center" o:hrstd="t" o:hr="t"/>
        </w:pict>
      </w:r>
    </w:p>
    <w:bookmarkEnd w:id="37"/>
    <w:bookmarkEnd w:id="38"/>
    <w:bookmarkStart w:id="42" w:name="review-report"/>
    <w:p>
      <w:pPr>
        <w:pStyle w:val="Heading2"/>
      </w:pPr>
      <w:r>
        <w:t xml:space="preserve">5. Review &amp; Report</w:t>
      </w:r>
    </w:p>
    <w:bookmarkStart w:id="39" w:name="hotspot-identification"/>
    <w:p>
      <w:pPr>
        <w:pStyle w:val="Heading3"/>
      </w:pPr>
      <w:r>
        <w:t xml:space="preserve">5.1. Hotspot Identification</w:t>
      </w:r>
    </w:p>
    <w:p>
      <w:pPr>
        <w:pStyle w:val="FirstParagraph"/>
      </w:pPr>
      <w:r>
        <w:t xml:space="preserve">Based on the analysis, the primary hotspots for the izwoofsyxf product\'s carbon footprint are:</w:t>
      </w:r>
    </w:p>
    <w:p>
      <w:pPr>
        <w:numPr>
          <w:ilvl w:val="0"/>
          <w:numId w:val="1009"/>
        </w:numPr>
        <w:pStyle w:val="Compact"/>
      </w:pPr>
      <w:r>
        <w:rPr>
          <w:bCs/>
          <w:b/>
        </w:rPr>
        <w:t xml:space="preserve">Use Phase (13.50 kgCO2e):</w:t>
      </w:r>
      <w:r>
        <w:t xml:space="preserve"> </w:t>
      </w:r>
      <w:r>
        <w:t xml:space="preserve">Represents approximately 40.75% of the total PCF, primarily due to the energy consumption over the product\'s 5-year lifespan. This highlights the importance of improving energy efficiency of the product in operation and encouraging the use of renewable energy sources by end-users.</w:t>
      </w:r>
    </w:p>
    <w:p>
      <w:pPr>
        <w:numPr>
          <w:ilvl w:val="0"/>
          <w:numId w:val="1009"/>
        </w:numPr>
        <w:pStyle w:val="Compact"/>
      </w:pPr>
      <w:r>
        <w:rPr>
          <w:bCs/>
          <w:b/>
        </w:rPr>
        <w:t xml:space="preserve">Manufacturing (11.54 kgCO2e):</w:t>
      </w:r>
      <w:r>
        <w:t xml:space="preserve"> </w:t>
      </w:r>
      <w:r>
        <w:t xml:space="preserve">Accounts for approximately 34.84% of the total PCF. While 60% renewable energy is used, the remaining 40% from the China grid, with its relatively high emission factor, contributes significantly. Increasing renewable energy usage and optimizing manufacturing processes will be critical.</w:t>
      </w:r>
    </w:p>
    <w:p>
      <w:pPr>
        <w:numPr>
          <w:ilvl w:val="0"/>
          <w:numId w:val="1009"/>
        </w:numPr>
        <w:pStyle w:val="Compact"/>
      </w:pPr>
      <w:r>
        <w:rPr>
          <w:bCs/>
          <w:b/>
        </w:rPr>
        <w:t xml:space="preserve">Material Acquisition (7.56 kgCO2e):</w:t>
      </w:r>
      <w:r>
        <w:t xml:space="preserve"> </w:t>
      </w:r>
      <w:r>
        <w:t xml:space="preserve">Constitutes about 22.82% of the total PCF. Aluminum and the circuit board are notable contributors here due to their inherent production emissions. Exploring lower-carbon alternative materials, increasing recycled content, and engaging with suppliers on their decarbonization efforts are key.</w:t>
      </w:r>
    </w:p>
    <w:p>
      <w:pPr>
        <w:numPr>
          <w:ilvl w:val="0"/>
          <w:numId w:val="1009"/>
        </w:numPr>
        <w:pStyle w:val="Compact"/>
      </w:pPr>
      <w:r>
        <w:rPr>
          <w:bCs/>
          <w:b/>
        </w:rPr>
        <w:t xml:space="preserve">Transportation (0.599 kgCO2e):</w:t>
      </w:r>
      <w:r>
        <w:t xml:space="preserve"> </w:t>
      </w:r>
      <w:r>
        <w:t xml:space="preserve">Contributes around 1.81% to the total PCF. While significant in absolute terms, its share is smaller compared to manufacturing and use phases. Optimizing logistics, shifting to lower-emission transport modes where feasible, and improving load factors can further reduce this.</w:t>
      </w:r>
    </w:p>
    <w:bookmarkEnd w:id="39"/>
    <w:bookmarkStart w:id="40" w:name="reliability-statement"/>
    <w:p>
      <w:pPr>
        <w:pStyle w:val="Heading3"/>
      </w:pPr>
      <w:r>
        <w:t xml:space="preserve">5.2. Reliability Statement</w:t>
      </w:r>
    </w:p>
    <w:p>
      <w:pPr>
        <w:pStyle w:val="FirstParagraph"/>
      </w:pPr>
      <w:r>
        <w:t xml:space="preserve">This PCF analysis for izwoofsyxf is based on the provided parameters and estimated emission factors from recognized industry sources (e.g., general averages from Ecoinvent/DEFRA principles). While it provides a robust estimate and identifies major emission hotspots, its reliability is contingent on:</w:t>
      </w:r>
    </w:p>
    <w:p>
      <w:pPr>
        <w:numPr>
          <w:ilvl w:val="0"/>
          <w:numId w:val="1010"/>
        </w:numPr>
        <w:pStyle w:val="Compact"/>
      </w:pPr>
      <w:r>
        <w:t xml:space="preserve">The accuracy of the provided Bill of Materials.</w:t>
      </w:r>
    </w:p>
    <w:p>
      <w:pPr>
        <w:numPr>
          <w:ilvl w:val="0"/>
          <w:numId w:val="1010"/>
        </w:numPr>
        <w:pStyle w:val="Compact"/>
      </w:pPr>
      <w:r>
        <w:t xml:space="preserve">The representativeness of the assumed emission factors for specific materials, manufacturing processes, and energy grids.</w:t>
      </w:r>
    </w:p>
    <w:p>
      <w:pPr>
        <w:numPr>
          <w:ilvl w:val="0"/>
          <w:numId w:val="1010"/>
        </w:numPr>
        <w:pStyle w:val="Compact"/>
      </w:pPr>
      <w:r>
        <w:t xml:space="preserve">Assumptions made for transport distances, modes, and load factors where specific real-time data was not available (e.g., last-mile distribution efficiency).</w:t>
      </w:r>
    </w:p>
    <w:p>
      <w:pPr>
        <w:numPr>
          <w:ilvl w:val="0"/>
          <w:numId w:val="1010"/>
        </w:numPr>
        <w:pStyle w:val="Compact"/>
      </w:pPr>
      <w:r>
        <w:t xml:space="preserve">The assumed average electricity grid factor for the use phase, which can vary significantly by country and region.</w:t>
      </w:r>
    </w:p>
    <w:p>
      <w:pPr>
        <w:pStyle w:val="FirstParagraph"/>
      </w:pPr>
      <w:r>
        <w:t xml:space="preserve">A more precise PCF would benefit from primary data directly from suppliers for materials and logistics, and real-world energy consumption data for the use phase in target markets.</w:t>
      </w:r>
    </w:p>
    <w:bookmarkEnd w:id="40"/>
    <w:bookmarkStart w:id="41" w:name="Xba2377b0f8bcf60901db79f2a8f0fd53c7b99be"/>
    <w:p>
      <w:pPr>
        <w:pStyle w:val="Heading3"/>
      </w:pPr>
      <w:r>
        <w:t xml:space="preserve">5.3. GHG Protocol - 2026 LSR Update &amp; Scope 3 Compliance</w:t>
      </w:r>
    </w:p>
    <w:p>
      <w:pPr>
        <w:pStyle w:val="FirstParagraph"/>
      </w:pPr>
      <w:r>
        <w:t xml:space="preserve">The GHG Protocol\'s new Land Sector and Removals (LSR) Standard, effective January 1, 2027, provides accounting requirements and guidance for entities with significant land sector activities and those reporting CO2 removals. For izwoofsyxf, a full implementation of the LSR Standard would require detailed information on land use changes associated with the sourcing of raw materials, biogenic carbon flows, and potential carbon removals through take-back programs or bio-based components. As specific data for land use impacts of the raw materials was not provided, this report acknowledges the LSR Standard but does not quantify its specific impacts. Future iterations should incorporate this standard where applicable, particularly for materials with significant agricultural or forestry origins.</w:t>
      </w:r>
    </w:p>
    <w:p>
      <w:pPr>
        <w:pStyle w:val="BodyText"/>
      </w:pPr>
      <w:r>
        <w:t xml:space="preserve">This analysis has striven for at least 95% coverage for Scope 3 reporting by including all provided value chain parameters: purchased goods and services (materials), transportation and distribution (upstream and downstream), use of sold products, and end-of-life treatment of sold products. These categories typically represent the most significant Scope 3 emissions for manufactured products, aligning with 2026 requirements for comprehensive value chain accounting.</w:t>
      </w:r>
    </w:p>
    <w:p>
      <w:r>
        <w:pict>
          <v:rect style="width:0;height:1.5pt" o:hralign="center" o:hrstd="t" o:hr="t"/>
        </w:pict>
      </w:r>
    </w:p>
    <w:bookmarkEnd w:id="41"/>
    <w:bookmarkEnd w:id="42"/>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izwoofsyxf</dc:title>
  <dc:creator/>
  <dc:description>Detailed Product Carbon Footprint (PCF) analysis report for izwoofsyxf, following GHG Protocol standards. Includes material, manufacturing, transport, use phase, and end-of-life emissions.</dc:description>
  <dc:language>en</dc:language>
  <cp:keywords/>
  <dcterms:created xsi:type="dcterms:W3CDTF">2026-07-15T15:46:53Z</dcterms:created>
  <dcterms:modified xsi:type="dcterms:W3CDTF">2026-07-15T15:46:53Z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