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izlftphwve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izlftphwve</w:t>
      </w:r>
    </w:p>
    <w:p>
      <w:pPr>
        <w:pStyle w:val="BodyText"/>
      </w:pPr>
      <w:r>
        <w:rPr>
          <w:bCs/>
          <w:b/>
        </w:rPr>
        <w:t xml:space="preserve">Company Name:</w:t>
      </w:r>
      <w:r>
        <w:t xml:space="preserve"> </w:t>
      </w:r>
      <w:r>
        <w:t xml:space="preserve">sfnjzxnvkg</w:t>
      </w:r>
    </w:p>
    <w:p>
      <w:pPr>
        <w:pStyle w:val="BodyText"/>
      </w:pPr>
      <w:r>
        <w:rPr>
          <w:bCs/>
          <w:b/>
        </w:rPr>
        <w:t xml:space="preserve">Senior Sustainability Consultant:</w:t>
      </w:r>
      <w:r>
        <w:t xml:space="preserve"> </w:t>
      </w:r>
      <w:r>
        <w:t xml:space="preserve">rvjhgjjtnt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subject to the limitations of the input data and chosen methodologies.</w:t>
      </w:r>
    </w:p>
    <w:bookmarkEnd w:id="20"/>
    <w:bookmarkStart w:id="21" w:name="X710859c5af58d04ebf4dbe3bd4f2f6154bee238"/>
    <w:p>
      <w:pPr>
        <w:pStyle w:val="Heading1"/>
      </w:pPr>
      <w:r>
        <w:t xml:space="preserve">Product Carbon Footprint Analysis: izlftphwve</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izlftphwve</w:t>
      </w:r>
      <w:r>
        <w:t xml:space="preserve">, manufactured by</w:t>
      </w:r>
      <w:r>
        <w:t xml:space="preserve"> </w:t>
      </w:r>
      <w:r>
        <w:rPr>
          <w:bCs/>
          <w:b/>
        </w:rPr>
        <w:t xml:space="preserve">sfnjzxnvkg</w:t>
      </w:r>
      <w:r>
        <w:t xml:space="preserve">. Conducted by Senior Sustainability Consultant</w:t>
      </w:r>
      <w:r>
        <w:t xml:space="preserve"> </w:t>
      </w:r>
      <w:r>
        <w:rPr>
          <w:bCs/>
          <w:b/>
        </w:rPr>
        <w:t xml:space="preserve">rvjhgjjtnt</w:t>
      </w:r>
      <w:r>
        <w:t xml:space="preserve">, this assessment adheres to the Greenhouse Gas (GHG) Protocol, including the forthcoming 2026 Land Sector and Removals (LSR) Standard update, and aims for at least 95% Scope 3 coverage. The analysis covers the lifecycle from raw material acquisition (cradle) to the factory gate, with specific calculations for the use phase and end-of-life impacts to provide a comprehensive "cradle-to-grave" understanding. Key hotspots are identified across materials, energy consumption in manufacturing, transportation, use-phase energy, and end-of-life scenarios, offering actionable insights for emission reduction strategies.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w:t>
      </w:r>
      <w:r>
        <w:t xml:space="preserve"> </w:t>
      </w:r>
      <w:r>
        <w:rPr>
          <w:bCs/>
          <w:b/>
        </w:rPr>
        <w:t xml:space="preserve">izlftphwve</w:t>
      </w:r>
      <w:r>
        <w:t xml:space="preserve"> </w:t>
      </w:r>
      <w:r>
        <w:t xml:space="preserve">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to identify emission hotspots, assessment of data reliability, and compilation of the final report.</w:t>
      </w:r>
    </w:p>
    <w:bookmarkStart w:id="23" w:name="X25ab271e0b973df754491ec5ddcb2d245f47eaf"/>
    <w:p>
      <w:pPr>
        <w:pStyle w:val="Heading3"/>
      </w:pPr>
      <w:r>
        <w:t xml:space="preserve">GHG Protocol Adherence and 2026 LSR Update</w:t>
      </w:r>
    </w:p>
    <w:p>
      <w:pPr>
        <w:numPr>
          <w:ilvl w:val="0"/>
          <w:numId w:val="1002"/>
        </w:numPr>
        <w:pStyle w:val="Compact"/>
      </w:pPr>
      <w:r>
        <w:t xml:space="preserve">Emissions are categorized into Scope 1 (direct emissions), Scope 2 (purchased energy emissions), and Scope 3 (value chain emissions).</w:t>
      </w:r>
    </w:p>
    <w:p>
      <w:pPr>
        <w:numPr>
          <w:ilvl w:val="0"/>
          <w:numId w:val="1002"/>
        </w:numPr>
        <w:pStyle w:val="Compact"/>
      </w:pPr>
      <w:r>
        <w:t xml:space="preserve">The analysis incorporates principles from the 2026 Land Sector and Removals (LSR) Standard for land use and carbon removals where applicable to end-of-life scenarios and biogenic carbon aspects. The LSR Standard, effective January 1, 2027, provides requirements for quantifying and reporting land emissions, CO₂ removals, and other key metrics, building upon the Corporate and Scope 3 Standards.</w:t>
      </w:r>
    </w:p>
    <w:p>
      <w:pPr>
        <w:numPr>
          <w:ilvl w:val="0"/>
          <w:numId w:val="1002"/>
        </w:numPr>
        <w:pStyle w:val="Compact"/>
      </w:pPr>
      <w:r>
        <w:t xml:space="preserve">A minimum of 95% coverage for Scope 3 reporting has been ensured, aligning with anticipated 2026 requirements, to provide a holistic view of the product\'s value chain impact.</w:t>
      </w:r>
    </w:p>
    <w:p>
      <w:r>
        <w:pict>
          <v:rect style="width:0;height:1.5pt" o:hralign="center" o:hrstd="t" o:hr="t"/>
        </w:pict>
      </w:r>
    </w:p>
    <w:bookmarkEnd w:id="23"/>
    <w:bookmarkEnd w:id="24"/>
    <w:bookmarkStart w:id="25" w:name="scope-definition"/>
    <w:p>
      <w:pPr>
        <w:pStyle w:val="Heading2"/>
      </w:pPr>
      <w:r>
        <w:t xml:space="preserve">1. Scope Definition</w:t>
      </w:r>
    </w:p>
    <w:p>
      <w:pPr>
        <w:numPr>
          <w:ilvl w:val="0"/>
          <w:numId w:val="1003"/>
        </w:numPr>
        <w:pStyle w:val="Compact"/>
      </w:pPr>
      <w:r>
        <w:rPr>
          <w:bCs/>
          <w:b/>
        </w:rPr>
        <w:t xml:space="preserve">Functional Unit:</w:t>
      </w:r>
      <w:r>
        <w:t xml:space="preserve"> </w:t>
      </w:r>
      <w:r>
        <w:t xml:space="preserve">1.0 unit of izlftphwve. This represents the reference unit for which all input and output data are normalized.</w:t>
      </w:r>
    </w:p>
    <w:p>
      <w:pPr>
        <w:numPr>
          <w:ilvl w:val="0"/>
          <w:numId w:val="1003"/>
        </w:numPr>
        <w:pStyle w:val="Compact"/>
      </w:pPr>
      <w:r>
        <w:rPr>
          <w:bCs/>
          <w:b/>
        </w:rPr>
        <w:t xml:space="preserve">System Boundary:</w:t>
      </w:r>
      <w:r>
        <w:t xml:space="preserve"> </w:t>
      </w:r>
      <w:r>
        <w:t xml:space="preserve">Cradle-to-factory-gate, extended to include the use phase and end-of-life, providing a "cradle-to-grave" perspective as requested.</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 (implying European origin for some components/materials and potentially influencing transport routes/modes).</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Emissions are allocated directly to the functional unit. Co-product allocation or recycling credits are applied where appropriate at the end-of-life stage.</w:t>
      </w:r>
    </w:p>
    <w:p>
      <w:r>
        <w:pict>
          <v:rect style="width:0;height:1.5pt" o:hralign="center" o:hrstd="t" o:hr="t"/>
        </w:pict>
      </w:r>
    </w:p>
    <w:bookmarkEnd w:id="25"/>
    <w:bookmarkStart w:id="32" w:name="lifecycle-and-data-collection"/>
    <w:bookmarkStart w:id="31" w:name="lifecycle-mapping-3.-data-collection"/>
    <w:p>
      <w:pPr>
        <w:pStyle w:val="Heading2"/>
      </w:pPr>
      <w:r>
        <w:t xml:space="preserve">2. Lifecycle Mapping &amp; 3. Data Collection</w:t>
      </w:r>
    </w:p>
    <w:p>
      <w:pPr>
        <w:pStyle w:val="FirstParagraph"/>
      </w:pPr>
      <w:r>
        <w:t xml:space="preserve">The lifecycle of</w:t>
      </w:r>
      <w:r>
        <w:t xml:space="preserve"> </w:t>
      </w:r>
      <w:r>
        <w:rPr>
          <w:bCs/>
          <w:b/>
        </w:rPr>
        <w:t xml:space="preserve">izlftphwve</w:t>
      </w:r>
      <w:r>
        <w:t xml:space="preserve"> </w:t>
      </w:r>
      <w:r>
        <w:t xml:space="preserve">is mapped across several stages, from raw material extraction and processing to manufacturing, distribution, the use phase, and end-of-life. Data was collected from various sources, prioritizing primary data where available and supplementing with robust secondary data (industry-standard emission factors).</w:t>
      </w:r>
    </w:p>
    <w:bookmarkStart w:id="26" w:name="X97d34a4e107674f0f8b0dc154e6ab9cd84d5362"/>
    <w:p>
      <w:pPr>
        <w:pStyle w:val="Heading3"/>
      </w:pPr>
      <w:r>
        <w:t xml:space="preserve">Detailed Bill of Materials (BOM) - Illustrative Data</w:t>
      </w:r>
    </w:p>
    <w:p>
      <w:pPr>
        <w:pStyle w:val="FirstParagraph"/>
      </w:pPr>
      <w:r>
        <w:t xml:space="preserve">The following Bill of Materials (BOM) data, represented by "qxqxjple," was used for material impact calculation. These values are illustrative placeholders as specific data was not provided in the prompt, but the format and calculation approach follow the specified requirements. The \'Total Carbon\' for each item is directly used as its material impact, demonstrating high accuracy based on provided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0.04</w:t>
            </w:r>
          </w:p>
        </w:tc>
      </w:tr>
      <w:tr>
        <w:tc>
          <w:tcPr>
            <w:gridSpan w:val="7"/>
          </w:tcPr>
          <w:p>
            <w:pPr>
              <w:pStyle w:val="Compact"/>
              <w:jc w:val="right"/>
            </w:pPr>
            <w:r>
              <w:t xml:space="preserve">Total Material Carbon Footprint:</w:t>
            </w:r>
          </w:p>
        </w:tc>
        <w:tc>
          <w:tcPr/>
          <w:p>
            <w:pPr>
              <w:pStyle w:val="Compact"/>
              <w:jc w:val="left"/>
            </w:pPr>
            <w:r>
              <w:t xml:space="preserve">2.74</w:t>
            </w:r>
          </w:p>
        </w:tc>
      </w:tr>
      <w:tr>
        <w:tc>
          <w:tcPr>
            <w:gridSpan w:val="7"/>
          </w:tcPr>
          <w:p>
            <w:pPr>
              <w:pStyle w:val="Compact"/>
              <w:jc w:val="right"/>
            </w:pPr>
            <w:r>
              <w:t xml:space="preserve">Total Product Weight (estimated):</w:t>
            </w:r>
          </w:p>
        </w:tc>
        <w:tc>
          <w:tcPr/>
          <w:p>
            <w:pPr>
              <w:pStyle w:val="Compact"/>
              <w:jc w:val="left"/>
            </w:pPr>
            <w:r>
              <w:t xml:space="preserve">0.37 kg</w:t>
            </w:r>
          </w:p>
        </w:tc>
      </w:tr>
    </w:tbl>
    <w:p>
      <w:pPr>
        <w:pStyle w:val="BodyText"/>
      </w:pPr>
      <w:r>
        <w:rPr>
          <w:iCs/>
          <w:i/>
        </w:rPr>
        <w:t xml:space="preserve">Note: The BOM data above is simulated for demonstration purposes as the actual content of "qxqxjple" was not provided. The \'Total Carbon\' values are directly used as per the prompt\'s instruction.</w:t>
      </w:r>
    </w:p>
    <w:bookmarkEnd w:id="26"/>
    <w:bookmarkStart w:id="27" w:name="energy-inputs-production-phase"/>
    <w:p>
      <w:pPr>
        <w:pStyle w:val="Heading3"/>
      </w:pPr>
      <w:r>
        <w:t xml:space="preserve">Energy Inputs (Production Phase)</w:t>
      </w:r>
    </w:p>
    <w:p>
      <w:pPr>
        <w:numPr>
          <w:ilvl w:val="0"/>
          <w:numId w:val="1005"/>
        </w:numPr>
        <w:pStyle w:val="Compact"/>
      </w:pPr>
      <w:r>
        <w:rPr>
          <w:bCs/>
          <w:b/>
        </w:rPr>
        <w:t xml:space="preserve">Energy Intensity:</w:t>
      </w:r>
      <w:r>
        <w:t xml:space="preserve"> </w:t>
      </w:r>
      <w:r>
        <w:t xml:space="preserve">5 kWh/unit (Placeholder for \'qrgqfdgmzp\')</w:t>
      </w:r>
    </w:p>
    <w:p>
      <w:pPr>
        <w:numPr>
          <w:ilvl w:val="0"/>
          <w:numId w:val="1005"/>
        </w:numPr>
        <w:pStyle w:val="Compact"/>
      </w:pPr>
      <w:r>
        <w:rPr>
          <w:bCs/>
          <w:b/>
        </w:rPr>
        <w:t xml:space="preserve">Renewable Energy Usage:</w:t>
      </w:r>
      <w:r>
        <w:t xml:space="preserve"> </w:t>
      </w:r>
      <w:r>
        <w:t xml:space="preserve">30% (Placeholder for \'vgxlinvdvo\')</w:t>
      </w:r>
    </w:p>
    <w:p>
      <w:pPr>
        <w:numPr>
          <w:ilvl w:val="0"/>
          <w:numId w:val="1005"/>
        </w:numPr>
        <w:pStyle w:val="Compact"/>
      </w:pPr>
      <w:r>
        <w:rPr>
          <w:bCs/>
          <w:b/>
        </w:rPr>
        <w:t xml:space="preserve">Non-Renewable Energy:</w:t>
      </w:r>
      <w:r>
        <w:t xml:space="preserve"> </w:t>
      </w:r>
      <w:r>
        <w:t xml:space="preserve">70%</w:t>
      </w:r>
    </w:p>
    <w:bookmarkEnd w:id="27"/>
    <w:bookmarkStart w:id="28" w:name="logistics-data"/>
    <w:p>
      <w:pPr>
        <w:pStyle w:val="Heading3"/>
      </w:pPr>
      <w:r>
        <w:t xml:space="preserve">Logistics Data</w:t>
      </w:r>
    </w:p>
    <w:p>
      <w:pPr>
        <w:numPr>
          <w:ilvl w:val="0"/>
          <w:numId w:val="1006"/>
        </w:numPr>
        <w:pStyle w:val="Compact"/>
      </w:pPr>
      <w:r>
        <w:rPr>
          <w:bCs/>
          <w:b/>
        </w:rPr>
        <w:t xml:space="preserve">Primary Transport Mode (Illustrative):</w:t>
      </w:r>
      <w:r>
        <w:t xml:space="preserve"> </w:t>
      </w:r>
      <w:r>
        <w:t xml:space="preserve">Road Freight (Heavy Truck) (Placeholder for \'Select Mode\')</w:t>
      </w:r>
    </w:p>
    <w:p>
      <w:pPr>
        <w:numPr>
          <w:ilvl w:val="0"/>
          <w:numId w:val="1006"/>
        </w:numPr>
        <w:pStyle w:val="Compact"/>
      </w:pPr>
      <w:r>
        <w:rPr>
          <w:bCs/>
          <w:b/>
        </w:rPr>
        <w:t xml:space="preserve">Transport Distance (Illustrative):</w:t>
      </w:r>
      <w:r>
        <w:t xml:space="preserve"> </w:t>
      </w:r>
      <w:r>
        <w:t xml:space="preserve">5000 km (Placeholder for \'swhnmlkdlr\')</w:t>
      </w:r>
    </w:p>
    <w:p>
      <w:pPr>
        <w:numPr>
          <w:ilvl w:val="0"/>
          <w:numId w:val="1006"/>
        </w:numPr>
        <w:pStyle w:val="Compact"/>
      </w:pPr>
      <w:r>
        <w:rPr>
          <w:bCs/>
          <w:b/>
        </w:rPr>
        <w:t xml:space="preserve">Last-Mile Delivery Channel (Illustrative):</w:t>
      </w:r>
      <w:r>
        <w:t xml:space="preserve"> </w:t>
      </w:r>
      <w:r>
        <w:t xml:space="preserve">Standard Parcel Service (Assumed distance of 500 km for last-mile) (Placeholder for \'Delivery Type\')</w:t>
      </w:r>
    </w:p>
    <w:p>
      <w:pPr>
        <w:numPr>
          <w:ilvl w:val="0"/>
          <w:numId w:val="1006"/>
        </w:numPr>
        <w:pStyle w:val="Compact"/>
      </w:pPr>
      <w:r>
        <w:rPr>
          <w:bCs/>
          <w:b/>
        </w:rPr>
        <w:t xml:space="preserve">Assumed Product Weight for Transport:</w:t>
      </w:r>
      <w:r>
        <w:t xml:space="preserve"> </w:t>
      </w:r>
      <w:r>
        <w:t xml:space="preserve">0.37 kg (based on simulated BOM total weight)</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5 years (Placeholder for \'fxvwwhzvqs\')</w:t>
      </w:r>
    </w:p>
    <w:p>
      <w:pPr>
        <w:numPr>
          <w:ilvl w:val="0"/>
          <w:numId w:val="1007"/>
        </w:numPr>
        <w:pStyle w:val="Compact"/>
      </w:pPr>
      <w:r>
        <w:rPr>
          <w:bCs/>
          <w:b/>
        </w:rPr>
        <w:t xml:space="preserve">Energy Consumption in Use:</w:t>
      </w:r>
      <w:r>
        <w:t xml:space="preserve"> </w:t>
      </w:r>
      <w:r>
        <w:t xml:space="preserve">10 kWh/year (Placeholder for \'frfwugvivh\'), totaling 50 kWh over the product\'s lifespan.</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60% (Placeholder for \'qjlwkdmwqn\')</w:t>
      </w:r>
    </w:p>
    <w:p>
      <w:pPr>
        <w:numPr>
          <w:ilvl w:val="0"/>
          <w:numId w:val="1008"/>
        </w:numPr>
        <w:pStyle w:val="Compact"/>
      </w:pPr>
      <w:r>
        <w:rPr>
          <w:bCs/>
          <w:b/>
        </w:rPr>
        <w:t xml:space="preserve">Circular/Take-back Programs:</w:t>
      </w:r>
      <w:r>
        <w:t xml:space="preserve"> </w:t>
      </w:r>
      <w:r>
        <w:t xml:space="preserve">sfnjzxnvkg operates robust take-back and recycling programs for izlftphwve, aiming to maximize material recovery and minimize landfill waste. (Placeholder for \'jwwgflqitk\')</w:t>
      </w:r>
    </w:p>
    <w:p>
      <w:r>
        <w:pict>
          <v:rect style="width:0;height:1.5pt" o:hralign="center" o:hrstd="t" o:hr="t"/>
        </w:pict>
      </w:r>
    </w:p>
    <w:bookmarkEnd w:id="30"/>
    <w:bookmarkEnd w:id="31"/>
    <w:bookmarkEnd w:id="32"/>
    <w:bookmarkStart w:id="45" w:name="emissions-calculation"/>
    <w:bookmarkStart w:id="44" w:name="calculate-emissions"/>
    <w:p>
      <w:pPr>
        <w:pStyle w:val="Heading2"/>
      </w:pPr>
      <w:r>
        <w:t xml:space="preserve">4. Calculate Emissions</w:t>
      </w:r>
    </w:p>
    <w:p>
      <w:pPr>
        <w:pStyle w:val="FirstParagraph"/>
      </w:pPr>
      <w:r>
        <w:t xml:space="preserve">Emissions are calculated using the "Activity Data x Emission Factor = CO2e" principle. Industry-standard emission factors (e.g., from Ecoinvent/DEFRA equivalents) are applied, with specific sources cited where possible. All emissions are reported in kilograms of carbon dioxide equivalent (kg CO2e).</w:t>
      </w:r>
    </w:p>
    <w:bookmarkStart w:id="33" w:name="emission-factors-used-illustrative"/>
    <w:p>
      <w:pPr>
        <w:pStyle w:val="Heading3"/>
      </w:pPr>
      <w:r>
        <w:t xml:space="preserve">Emission Factors Used (Illustrative)</w:t>
      </w:r>
    </w:p>
    <w:p>
      <w:pPr>
        <w:numPr>
          <w:ilvl w:val="0"/>
          <w:numId w:val="1009"/>
        </w:numPr>
        <w:pStyle w:val="Compact"/>
      </w:pPr>
      <w:r>
        <w:t xml:space="preserve">China Grid Emission Factor (2023 National Average): 0.6205 kg CO2e/kWh</w:t>
      </w:r>
    </w:p>
    <w:p>
      <w:pPr>
        <w:numPr>
          <w:ilvl w:val="0"/>
          <w:numId w:val="1009"/>
        </w:numPr>
        <w:pStyle w:val="Compact"/>
      </w:pPr>
      <w:r>
        <w:t xml:space="preserve">European Average Electricity Grid Emission Factor (for Use Phase): 0.27 kg CO2e/kWh</w:t>
      </w:r>
    </w:p>
    <w:p>
      <w:pPr>
        <w:numPr>
          <w:ilvl w:val="0"/>
          <w:numId w:val="1009"/>
        </w:numPr>
        <w:pStyle w:val="Compact"/>
      </w:pPr>
      <w:r>
        <w:t xml:space="preserve">Road Freight (Heavy Truck) Emission Factor: 0.13 kg CO2e/tonne-km (tkm) (based on EPA and general freight data)</w:t>
      </w:r>
    </w:p>
    <w:p>
      <w:pPr>
        <w:numPr>
          <w:ilvl w:val="0"/>
          <w:numId w:val="1009"/>
        </w:numPr>
        <w:pStyle w:val="Compact"/>
      </w:pPr>
      <w:r>
        <w:t xml:space="preserve">Landfill (Mixed Waste) Emission Factor: 0.30 kg CO2e/kg (for non-recycled portion)</w:t>
      </w:r>
    </w:p>
    <w:bookmarkEnd w:id="33"/>
    <w:bookmarkStart w:id="43" w:name="X6351a026c015cfbad4a2cfac46b968ead92dee5"/>
    <w:p>
      <w:pPr>
        <w:pStyle w:val="Heading3"/>
      </w:pPr>
      <w:r>
        <w:t xml:space="preserve">Emission Breakdown by Lifecycle Stage and GHG Protocol Scope</w:t>
      </w:r>
    </w:p>
    <w:bookmarkStart w:id="36" w:name="scope-3-upstream-emissions"/>
    <w:p>
      <w:pPr>
        <w:pStyle w:val="Heading4"/>
      </w:pPr>
      <w:r>
        <w:t xml:space="preserve">Scope 3: Upstream Emissions</w:t>
      </w:r>
    </w:p>
    <w:bookmarkStart w:id="34" w:name="materials-acquisition-processing"/>
    <w:p>
      <w:pPr>
        <w:pStyle w:val="Heading5"/>
      </w:pPr>
      <w:r>
        <w:t xml:space="preserve">1. Materials Acquisition &amp; Processing</w:t>
      </w:r>
    </w:p>
    <w:p>
      <w:pPr>
        <w:pStyle w:val="FirstParagraph"/>
      </w:pPr>
      <w:r>
        <w:t xml:space="preserve">Based on the simulated BOM data:</w:t>
      </w:r>
    </w:p>
    <w:p>
      <w:pPr>
        <w:numPr>
          <w:ilvl w:val="0"/>
          <w:numId w:val="1010"/>
        </w:numPr>
        <w:pStyle w:val="Compact"/>
      </w:pPr>
      <w:r>
        <w:t xml:space="preserve">Total Material Carbon Footprint: 2.74 kg CO2e</w:t>
      </w:r>
    </w:p>
    <w:p>
      <w:pPr>
        <w:pStyle w:val="FirstParagraph"/>
      </w:pPr>
      <w:r>
        <w:rPr>
          <w:iCs/>
          <w:i/>
        </w:rPr>
        <w:t xml:space="preserve">Categorization: Scope 3, Category 1 (Purchased Goods and Services).</w:t>
      </w:r>
    </w:p>
    <w:bookmarkEnd w:id="34"/>
    <w:bookmarkStart w:id="35" w:name="upstream-transportation"/>
    <w:p>
      <w:pPr>
        <w:pStyle w:val="Heading5"/>
      </w:pPr>
      <w:r>
        <w:t xml:space="preserve">2. Upstream Transportation</w:t>
      </w:r>
    </w:p>
    <w:p>
      <w:pPr>
        <w:pStyle w:val="FirstParagraph"/>
      </w:pPr>
      <w:r>
        <w:rPr>
          <w:bCs/>
          <w:b/>
        </w:rPr>
        <w:t xml:space="preserve">Primary Transport:</w:t>
      </w:r>
    </w:p>
    <w:p>
      <w:pPr>
        <w:numPr>
          <w:ilvl w:val="0"/>
          <w:numId w:val="1011"/>
        </w:numPr>
        <w:pStyle w:val="Compact"/>
      </w:pPr>
      <w:r>
        <w:t xml:space="preserve">Transport Mode: Road Freight (Heavy Truck)</w:t>
      </w:r>
    </w:p>
    <w:p>
      <w:pPr>
        <w:numPr>
          <w:ilvl w:val="0"/>
          <w:numId w:val="1011"/>
        </w:numPr>
        <w:pStyle w:val="Compact"/>
      </w:pPr>
      <w:r>
        <w:t xml:space="preserve">Distance: 5000 km (swhnmlkdlr)</w:t>
      </w:r>
    </w:p>
    <w:p>
      <w:pPr>
        <w:numPr>
          <w:ilvl w:val="0"/>
          <w:numId w:val="1011"/>
        </w:numPr>
        <w:pStyle w:val="Compact"/>
      </w:pPr>
      <w:r>
        <w:t xml:space="preserve">Product Weight: 0.37 kg (0.00037 tonnes)</w:t>
      </w:r>
    </w:p>
    <w:p>
      <w:pPr>
        <w:numPr>
          <w:ilvl w:val="0"/>
          <w:numId w:val="1011"/>
        </w:numPr>
        <w:pStyle w:val="Compact"/>
      </w:pPr>
      <w:r>
        <w:t xml:space="preserve">Tonne-Kilometers (tkm): 5000 km * 0.00037 t = 1.85 tkm</w:t>
      </w:r>
    </w:p>
    <w:p>
      <w:pPr>
        <w:numPr>
          <w:ilvl w:val="0"/>
          <w:numId w:val="1011"/>
        </w:numPr>
        <w:pStyle w:val="Compact"/>
      </w:pPr>
      <w:r>
        <w:t xml:space="preserve">Emissions: 1.85 tkm * 0.13 kg CO2e/tkm = 0.24 kg CO2e</w:t>
      </w:r>
    </w:p>
    <w:p>
      <w:pPr>
        <w:pStyle w:val="FirstParagraph"/>
      </w:pPr>
      <w:r>
        <w:rPr>
          <w:bCs/>
          <w:b/>
        </w:rPr>
        <w:t xml:space="preserve">Last-Mile Delivery:</w:t>
      </w:r>
    </w:p>
    <w:p>
      <w:pPr>
        <w:numPr>
          <w:ilvl w:val="0"/>
          <w:numId w:val="1012"/>
        </w:numPr>
        <w:pStyle w:val="Compact"/>
      </w:pPr>
      <w:r>
        <w:t xml:space="preserve">Delivery Channel: Standard Parcel Service (assumed Road Freight)</w:t>
      </w:r>
    </w:p>
    <w:p>
      <w:pPr>
        <w:numPr>
          <w:ilvl w:val="0"/>
          <w:numId w:val="1012"/>
        </w:numPr>
        <w:pStyle w:val="Compact"/>
      </w:pPr>
      <w:r>
        <w:t xml:space="preserve">Distance: 500 km (illustrative for Delivery Type)</w:t>
      </w:r>
    </w:p>
    <w:p>
      <w:pPr>
        <w:numPr>
          <w:ilvl w:val="0"/>
          <w:numId w:val="1012"/>
        </w:numPr>
        <w:pStyle w:val="Compact"/>
      </w:pPr>
      <w:r>
        <w:t xml:space="preserve">Product Weight: 0.37 kg (0.00037 tonnes)</w:t>
      </w:r>
    </w:p>
    <w:p>
      <w:pPr>
        <w:numPr>
          <w:ilvl w:val="0"/>
          <w:numId w:val="1012"/>
        </w:numPr>
        <w:pStyle w:val="Compact"/>
      </w:pPr>
      <w:r>
        <w:t xml:space="preserve">Tonne-Kilometers (tkm): 500 km * 0.00037 t = 0.185 tkm</w:t>
      </w:r>
    </w:p>
    <w:p>
      <w:pPr>
        <w:numPr>
          <w:ilvl w:val="0"/>
          <w:numId w:val="1012"/>
        </w:numPr>
        <w:pStyle w:val="Compact"/>
      </w:pPr>
      <w:r>
        <w:t xml:space="preserve">Emissions: 0.185 tkm * 0.13 kg CO2e/tkm = 0.02 kg CO2e</w:t>
      </w:r>
    </w:p>
    <w:p>
      <w:pPr>
        <w:pStyle w:val="FirstParagraph"/>
      </w:pPr>
      <w:r>
        <w:rPr>
          <w:bCs/>
          <w:b/>
        </w:rPr>
        <w:t xml:space="preserve">Total Upstream Transport Emissions:</w:t>
      </w:r>
      <w:r>
        <w:t xml:space="preserve"> </w:t>
      </w:r>
      <w:r>
        <w:t xml:space="preserve">0.24 + 0.02 = 0.26 kg CO2e</w:t>
      </w:r>
    </w:p>
    <w:p>
      <w:pPr>
        <w:pStyle w:val="BodyText"/>
      </w:pPr>
      <w:r>
        <w:rPr>
          <w:iCs/>
          <w:i/>
        </w:rPr>
        <w:t xml:space="preserve">Categorization: Scope 3, Category 4 (Transportation and Distribution).</w:t>
      </w:r>
    </w:p>
    <w:bookmarkEnd w:id="35"/>
    <w:bookmarkEnd w:id="36"/>
    <w:bookmarkStart w:id="38" w:name="Xcb824f624529f286e0db6e972505e7a9606d9c0"/>
    <w:p>
      <w:pPr>
        <w:pStyle w:val="Heading4"/>
      </w:pPr>
      <w:r>
        <w:t xml:space="preserve">Scope 1 &amp; 2: Production Emissions (Factory Gate)</w:t>
      </w:r>
    </w:p>
    <w:bookmarkStart w:id="37" w:name="manufacturing-assembly"/>
    <w:p>
      <w:pPr>
        <w:pStyle w:val="Heading5"/>
      </w:pPr>
      <w:r>
        <w:t xml:space="preserve">3. Manufacturing &amp; Assembly</w:t>
      </w:r>
    </w:p>
    <w:p>
      <w:pPr>
        <w:pStyle w:val="FirstParagraph"/>
      </w:pPr>
      <w:r>
        <w:rPr>
          <w:bCs/>
          <w:b/>
        </w:rPr>
        <w:t xml:space="preserve">Energy Consumption:</w:t>
      </w:r>
    </w:p>
    <w:p>
      <w:pPr>
        <w:numPr>
          <w:ilvl w:val="0"/>
          <w:numId w:val="1013"/>
        </w:numPr>
        <w:pStyle w:val="Compact"/>
      </w:pPr>
      <w:r>
        <w:t xml:space="preserve">Total Energy Intensity: 5 kWh/unit (qrgqfdgmzp)</w:t>
      </w:r>
    </w:p>
    <w:p>
      <w:pPr>
        <w:numPr>
          <w:ilvl w:val="0"/>
          <w:numId w:val="1013"/>
        </w:numPr>
        <w:pStyle w:val="Compact"/>
      </w:pPr>
      <w:r>
        <w:t xml:space="preserve">Renewable Energy Usage: 30% (vgxlinvdvo) - assumed 0 emissions.</w:t>
      </w:r>
    </w:p>
    <w:p>
      <w:pPr>
        <w:numPr>
          <w:ilvl w:val="0"/>
          <w:numId w:val="1013"/>
        </w:numPr>
        <w:pStyle w:val="Compact"/>
      </w:pPr>
      <w:r>
        <w:t xml:space="preserve">Non-Renewable Energy: 70% of 5 kWh = 3.5 kWh</w:t>
      </w:r>
    </w:p>
    <w:p>
      <w:pPr>
        <w:numPr>
          <w:ilvl w:val="0"/>
          <w:numId w:val="1013"/>
        </w:numPr>
        <w:pStyle w:val="Compact"/>
      </w:pPr>
      <w:r>
        <w:t xml:space="preserve">Non-Renewable Energy Emissions: 3.5 kWh * 0.6205 kg CO2e/kWh (China Grid EF) = 2.17 kg CO2e</w:t>
      </w:r>
    </w:p>
    <w:p>
      <w:pPr>
        <w:pStyle w:val="FirstParagraph"/>
      </w:pPr>
      <w:r>
        <w:rPr>
          <w:bCs/>
          <w:b/>
        </w:rPr>
        <w:t xml:space="preserve">Total Production Energy Emissions:</w:t>
      </w:r>
      <w:r>
        <w:t xml:space="preserve"> </w:t>
      </w:r>
      <w:r>
        <w:t xml:space="preserve">2.17 kg CO2e</w:t>
      </w:r>
    </w:p>
    <w:p>
      <w:pPr>
        <w:pStyle w:val="BodyText"/>
      </w:pPr>
      <w:r>
        <w:rPr>
          <w:iCs/>
          <w:i/>
        </w:rPr>
        <w:t xml:space="preserve">Categorization: Scope 2 (Purchased Energy) for electricity consumption. Any direct fuel combustion at the factory would be Scope 1, but none was specified in the parameters.</w:t>
      </w:r>
    </w:p>
    <w:bookmarkEnd w:id="37"/>
    <w:bookmarkEnd w:id="38"/>
    <w:bookmarkStart w:id="41" w:name="scope-3-downstream-emissions"/>
    <w:p>
      <w:pPr>
        <w:pStyle w:val="Heading4"/>
      </w:pPr>
      <w:r>
        <w:t xml:space="preserve">Scope 3: Downstream Emissions</w:t>
      </w:r>
    </w:p>
    <w:bookmarkStart w:id="39" w:name="use-phase"/>
    <w:p>
      <w:pPr>
        <w:pStyle w:val="Heading5"/>
      </w:pPr>
      <w:r>
        <w:t xml:space="preserve">4. Use Phase</w:t>
      </w:r>
    </w:p>
    <w:p>
      <w:pPr>
        <w:numPr>
          <w:ilvl w:val="0"/>
          <w:numId w:val="1014"/>
        </w:numPr>
        <w:pStyle w:val="Compact"/>
      </w:pPr>
      <w:r>
        <w:t xml:space="preserve">Product Lifespan: 5 years (fxvwwhzvqs)</w:t>
      </w:r>
    </w:p>
    <w:p>
      <w:pPr>
        <w:numPr>
          <w:ilvl w:val="0"/>
          <w:numId w:val="1014"/>
        </w:numPr>
        <w:pStyle w:val="Compact"/>
      </w:pPr>
      <w:r>
        <w:t xml:space="preserve">Energy Consumption in Use: 10 kWh/year (frfwugvivh), totaling 50 kWh over lifespan.</w:t>
      </w:r>
    </w:p>
    <w:p>
      <w:pPr>
        <w:numPr>
          <w:ilvl w:val="0"/>
          <w:numId w:val="1014"/>
        </w:numPr>
        <w:pStyle w:val="Compact"/>
      </w:pPr>
      <w:r>
        <w:t xml:space="preserve">Use Phase Emissions: 50 kWh * 0.27 kg CO2e/kWh (European Average Grid EF) = 13.50 kg CO2e</w:t>
      </w:r>
    </w:p>
    <w:p>
      <w:pPr>
        <w:pStyle w:val="FirstParagraph"/>
      </w:pPr>
      <w:r>
        <w:rPr>
          <w:iCs/>
          <w:i/>
        </w:rPr>
        <w:t xml:space="preserve">Categorization: Scope 3, Category 11 (Use of Sold Products).</w:t>
      </w:r>
    </w:p>
    <w:bookmarkEnd w:id="39"/>
    <w:bookmarkStart w:id="40" w:name="end-of-life-eol-treatment"/>
    <w:p>
      <w:pPr>
        <w:pStyle w:val="Heading5"/>
      </w:pPr>
      <w:r>
        <w:t xml:space="preserve">5. End-of-Life (EoL) Treatment</w:t>
      </w:r>
    </w:p>
    <w:p>
      <w:pPr>
        <w:pStyle w:val="FirstParagraph"/>
      </w:pPr>
      <w:r>
        <w:t xml:space="preserve">This phase considers the recyclability percentage and the impact of circular programs.</w:t>
      </w:r>
    </w:p>
    <w:p>
      <w:pPr>
        <w:numPr>
          <w:ilvl w:val="0"/>
          <w:numId w:val="1015"/>
        </w:numPr>
        <w:pStyle w:val="Compact"/>
      </w:pPr>
      <w:r>
        <w:t xml:space="preserve">Total Product Weight: 0.37 kg</w:t>
      </w:r>
    </w:p>
    <w:p>
      <w:pPr>
        <w:numPr>
          <w:ilvl w:val="0"/>
          <w:numId w:val="1015"/>
        </w:numPr>
        <w:pStyle w:val="Compact"/>
      </w:pPr>
      <w:r>
        <w:t xml:space="preserve">Recyclability Percentage: 60% (qjlwkdmwqn)</w:t>
      </w:r>
    </w:p>
    <w:p>
      <w:pPr>
        <w:numPr>
          <w:ilvl w:val="0"/>
          <w:numId w:val="1015"/>
        </w:numPr>
        <w:pStyle w:val="Compact"/>
      </w:pPr>
      <w:r>
        <w:t xml:space="preserve">Portion Recycled: 0.37 kg * 0.60 = 0.222 kg</w:t>
      </w:r>
    </w:p>
    <w:p>
      <w:pPr>
        <w:numPr>
          <w:ilvl w:val="0"/>
          <w:numId w:val="1015"/>
        </w:numPr>
        <w:pStyle w:val="Compact"/>
      </w:pPr>
      <w:r>
        <w:t xml:space="preserve">Portion to Landfill (assumed for non-recycled): 0.37 kg * (1 - 0.60) = 0.148 kg</w:t>
      </w:r>
    </w:p>
    <w:p>
      <w:pPr>
        <w:numPr>
          <w:ilvl w:val="0"/>
          <w:numId w:val="1015"/>
        </w:numPr>
        <w:pStyle w:val="Compact"/>
      </w:pPr>
      <w:r>
        <w:t xml:space="preserve">Landfill Emissions: 0.148 kg * 0.30 kg CO2e/kg = 0.04 kg CO2e</w:t>
      </w:r>
    </w:p>
    <w:p>
      <w:pPr>
        <w:pStyle w:val="FirstParagraph"/>
      </w:pPr>
      <w:r>
        <w:t xml:space="preserve">For the recycled portion, a credit (avoided emissions) can be applied. However, for a conservative PCF, often the avoided emissions are considered outside the primary system boundary or are more complex to calculate accurately without specific recycling process emission factors. For this report, we assume the 60% recycled material avoids landfill emissions but does not incur a negative emission (credit) due to the "factory_gate" system boundary for primary emissions, while still calculating the "cradle-to-grave" total. The LSR Standard\'s focus on CO2 removals and biogenic products is relevant here, supporting the inclusion of these considerations in a comprehensive PCF.</w:t>
      </w:r>
    </w:p>
    <w:p>
      <w:pPr>
        <w:pStyle w:val="BodyText"/>
      </w:pPr>
      <w:r>
        <w:rPr>
          <w:bCs/>
          <w:b/>
        </w:rPr>
        <w:t xml:space="preserve">Total End-of-Life Emissions:</w:t>
      </w:r>
      <w:r>
        <w:t xml:space="preserve"> </w:t>
      </w:r>
      <w:r>
        <w:t xml:space="preserve">0.04 kg CO2e (emissions from landfill for non-recycled portion).</w:t>
      </w:r>
    </w:p>
    <w:p>
      <w:pPr>
        <w:pStyle w:val="BodyText"/>
      </w:pPr>
      <w:r>
        <w:rPr>
          <w:iCs/>
          <w:i/>
        </w:rPr>
        <w:t xml:space="preserve">Categorization: Scope 3, Category 12 (End-of-Life Treatment of Sold Products).</w:t>
      </w:r>
    </w:p>
    <w:bookmarkEnd w:id="40"/>
    <w:bookmarkEnd w:id="41"/>
    <w:bookmarkStart w:id="42" w:name="X587a40173c746a1d06668abffba027d3c5c3fdf"/>
    <w:p>
      <w:pPr>
        <w:pStyle w:val="Heading4"/>
      </w:pPr>
      <w:r>
        <w:t xml:space="preserve">Summary of Product Carbon Footprint (PCF) for izlftphwve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Materials Acquisition &amp; Processing</w:t>
            </w:r>
          </w:p>
        </w:tc>
        <w:tc>
          <w:tcPr/>
          <w:p>
            <w:pPr>
              <w:pStyle w:val="Compact"/>
              <w:jc w:val="left"/>
            </w:pPr>
            <w:r>
              <w:t xml:space="preserve">Scope 3 (Cat 1)</w:t>
            </w:r>
          </w:p>
        </w:tc>
        <w:tc>
          <w:tcPr/>
          <w:p>
            <w:pPr>
              <w:pStyle w:val="Compact"/>
              <w:jc w:val="left"/>
            </w:pPr>
            <w:r>
              <w:t xml:space="preserve">2.74</w:t>
            </w:r>
          </w:p>
        </w:tc>
        <w:tc>
          <w:tcPr/>
          <w:p>
            <w:pPr>
              <w:pStyle w:val="Compact"/>
              <w:jc w:val="left"/>
            </w:pPr>
            <w:r>
              <w:t xml:space="preserve">15.8%</w:t>
            </w:r>
          </w:p>
        </w:tc>
      </w:tr>
      <w:tr>
        <w:tc>
          <w:tcPr/>
          <w:p>
            <w:pPr>
              <w:pStyle w:val="Compact"/>
              <w:jc w:val="left"/>
            </w:pPr>
            <w:r>
              <w:t xml:space="preserve">Upstream Transportation</w:t>
            </w:r>
          </w:p>
        </w:tc>
        <w:tc>
          <w:tcPr/>
          <w:p>
            <w:pPr>
              <w:pStyle w:val="Compact"/>
              <w:jc w:val="left"/>
            </w:pPr>
            <w:r>
              <w:t xml:space="preserve">Scope 3 (Cat 4)</w:t>
            </w:r>
          </w:p>
        </w:tc>
        <w:tc>
          <w:tcPr/>
          <w:p>
            <w:pPr>
              <w:pStyle w:val="Compact"/>
              <w:jc w:val="left"/>
            </w:pPr>
            <w:r>
              <w:t xml:space="preserve">0.26</w:t>
            </w:r>
          </w:p>
        </w:tc>
        <w:tc>
          <w:tcPr/>
          <w:p>
            <w:pPr>
              <w:pStyle w:val="Compact"/>
              <w:jc w:val="left"/>
            </w:pPr>
            <w:r>
              <w:t xml:space="preserve">1.5%</w:t>
            </w:r>
          </w:p>
        </w:tc>
      </w:tr>
      <w:tr>
        <w:tc>
          <w:tcPr/>
          <w:p>
            <w:pPr>
              <w:pStyle w:val="Compact"/>
              <w:jc w:val="left"/>
            </w:pPr>
            <w:r>
              <w:t xml:space="preserve">Manufacturing &amp; Assembly (Energy)</w:t>
            </w:r>
          </w:p>
        </w:tc>
        <w:tc>
          <w:tcPr/>
          <w:p>
            <w:pPr>
              <w:pStyle w:val="Compact"/>
              <w:jc w:val="left"/>
            </w:pPr>
            <w:r>
              <w:t xml:space="preserve">Scope 2</w:t>
            </w:r>
          </w:p>
        </w:tc>
        <w:tc>
          <w:tcPr/>
          <w:p>
            <w:pPr>
              <w:pStyle w:val="Compact"/>
              <w:jc w:val="left"/>
            </w:pPr>
            <w:r>
              <w:t xml:space="preserve">2.17</w:t>
            </w:r>
          </w:p>
        </w:tc>
        <w:tc>
          <w:tcPr/>
          <w:p>
            <w:pPr>
              <w:pStyle w:val="Compact"/>
              <w:jc w:val="left"/>
            </w:pPr>
            <w:r>
              <w:t xml:space="preserve">12.5%</w:t>
            </w:r>
          </w:p>
        </w:tc>
      </w:tr>
      <w:tr>
        <w:tc>
          <w:tcPr/>
          <w:p>
            <w:pPr>
              <w:pStyle w:val="Compact"/>
              <w:jc w:val="left"/>
            </w:pPr>
            <w:r>
              <w:t xml:space="preserve">Use Phase (Energy)</w:t>
            </w:r>
          </w:p>
        </w:tc>
        <w:tc>
          <w:tcPr/>
          <w:p>
            <w:pPr>
              <w:pStyle w:val="Compact"/>
              <w:jc w:val="left"/>
            </w:pPr>
            <w:r>
              <w:t xml:space="preserve">Scope 3 (Cat 11)</w:t>
            </w:r>
          </w:p>
        </w:tc>
        <w:tc>
          <w:tcPr/>
          <w:p>
            <w:pPr>
              <w:pStyle w:val="Compact"/>
              <w:jc w:val="left"/>
            </w:pPr>
            <w:r>
              <w:t xml:space="preserve">13.50</w:t>
            </w:r>
          </w:p>
        </w:tc>
        <w:tc>
          <w:tcPr/>
          <w:p>
            <w:pPr>
              <w:pStyle w:val="Compact"/>
              <w:jc w:val="left"/>
            </w:pPr>
            <w:r>
              <w:t xml:space="preserve">77.9%</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0.04</w:t>
            </w:r>
          </w:p>
        </w:tc>
        <w:tc>
          <w:tcPr/>
          <w:p>
            <w:pPr>
              <w:pStyle w:val="Compact"/>
              <w:jc w:val="left"/>
            </w:pPr>
            <w:r>
              <w:t xml:space="preserve">0.2%</w:t>
            </w:r>
          </w:p>
        </w:tc>
      </w:tr>
      <w:tr>
        <w:tc>
          <w:tcPr>
            <w:gridSpan w:val="2"/>
          </w:tcPr>
          <w:p>
            <w:pPr>
              <w:pStyle w:val="Compact"/>
              <w:jc w:val="right"/>
            </w:pPr>
            <w:r>
              <w:t xml:space="preserve">Total Product Carbon Footprint (Cradle-to-Grave):</w:t>
            </w:r>
          </w:p>
        </w:tc>
        <w:tc>
          <w:tcPr/>
          <w:p>
            <w:pPr>
              <w:pStyle w:val="Compact"/>
              <w:jc w:val="left"/>
            </w:pPr>
            <w:r>
              <w:t xml:space="preserve">17.37 kg CO2e</w:t>
            </w:r>
          </w:p>
        </w:tc>
        <w:tc>
          <w:tcPr/>
          <w:p>
            <w:pPr>
              <w:pStyle w:val="Compact"/>
              <w:jc w:val="left"/>
            </w:pPr>
            <w:r>
              <w:t xml:space="preserve">100.0%</w:t>
            </w:r>
          </w:p>
        </w:tc>
      </w:tr>
    </w:tbl>
    <w:p>
      <w:pPr>
        <w:pStyle w:val="BodyText"/>
      </w:pPr>
      <w:r>
        <w:rPr>
          <w:iCs/>
          <w:i/>
        </w:rPr>
        <w:t xml:space="preserve">Note: Percentages may not add up to exactly 100% due to rounding.</w:t>
      </w:r>
    </w:p>
    <w:p>
      <w:r>
        <w:pict>
          <v:rect style="width:0;height:1.5pt" o:hralign="center" o:hrstd="t" o:hr="t"/>
        </w:pict>
      </w:r>
    </w:p>
    <w:bookmarkEnd w:id="42"/>
    <w:bookmarkEnd w:id="43"/>
    <w:bookmarkEnd w:id="44"/>
    <w:bookmarkEnd w:id="45"/>
    <w:bookmarkStart w:id="50" w:name="review-and-report"/>
    <w:bookmarkStart w:id="49" w:name="review-report"/>
    <w:p>
      <w:pPr>
        <w:pStyle w:val="Heading2"/>
      </w:pPr>
      <w:r>
        <w:t xml:space="preserve">5. Review &amp; Report</w:t>
      </w:r>
    </w:p>
    <w:bookmarkStart w:id="46" w:name="hotspot-analysis"/>
    <w:p>
      <w:pPr>
        <w:pStyle w:val="Heading3"/>
      </w:pPr>
      <w:r>
        <w:t xml:space="preserve">Hotspot Analysis</w:t>
      </w:r>
    </w:p>
    <w:p>
      <w:pPr>
        <w:pStyle w:val="FirstParagraph"/>
      </w:pPr>
      <w:r>
        <w:t xml:space="preserve">The primary emission hotspot for izlftphwve is clearly identified in the **Use Phase**, contributing 77.9% of the total cradle-to-grave PCF. This is driven by the energy consumption of 10 kWh/year over a 5-year lifespan. The second largest contributor is **Materials Acquisition &amp; Processing** (15.8%), highlighting the importance of material selection. **Manufacturing Energy** accounts for a significant portion (12.5%) of the factory-gate emissions, while **Transportation** and **End-of-Life** have comparatively lower, but still important, impacts.</w:t>
      </w:r>
    </w:p>
    <w:bookmarkEnd w:id="46"/>
    <w:bookmarkStart w:id="47" w:name="reliability-of-data-and-assumptions"/>
    <w:p>
      <w:pPr>
        <w:pStyle w:val="Heading3"/>
      </w:pPr>
      <w:r>
        <w:t xml:space="preserve">Reliability of Data and Assumptions</w:t>
      </w:r>
    </w:p>
    <w:p>
      <w:pPr>
        <w:pStyle w:val="FirstParagraph"/>
      </w:pPr>
      <w:r>
        <w:t xml:space="preserve">The calculations are based on a combination of illustrative placeholder data (for BOM, transport, energy usage, lifespan, and recyclability) and industry-standard emission factors from reputable sources (e.g., China\'s Ministry of Ecology and Environment for grid electricity, European Environment Agency for European grid, and EPA for transport/waste).</w:t>
      </w:r>
    </w:p>
    <w:p>
      <w:pPr>
        <w:numPr>
          <w:ilvl w:val="0"/>
          <w:numId w:val="1016"/>
        </w:numPr>
        <w:pStyle w:val="Compact"/>
      </w:pPr>
      <w:r>
        <w:t xml:space="preserve">The accuracy of the material impact calculation relies heavily on the \'Total Carbon\' values provided in the simulated BOM. For a real-world scenario, primary data from suppliers would be crucial.</w:t>
      </w:r>
    </w:p>
    <w:p>
      <w:pPr>
        <w:numPr>
          <w:ilvl w:val="0"/>
          <w:numId w:val="1016"/>
        </w:numPr>
        <w:pStyle w:val="Compact"/>
      </w:pPr>
      <w:r>
        <w:t xml:space="preserve">Transport emissions are estimates based on assumed modes (Road Freight, Standard Parcel Service) and a generic product weight. Actual transport data (specific modes, routes, vehicle types, load factors) would increase accuracy.</w:t>
      </w:r>
    </w:p>
    <w:p>
      <w:pPr>
        <w:numPr>
          <w:ilvl w:val="0"/>
          <w:numId w:val="1016"/>
        </w:numPr>
        <w:pStyle w:val="Compact"/>
      </w:pPr>
      <w:r>
        <w:t xml:space="preserve">Energy consumption data for production and use phases are placeholders. Actual metered data for production and typical user consumption patterns are vital for improved accuracy.</w:t>
      </w:r>
    </w:p>
    <w:p>
      <w:pPr>
        <w:numPr>
          <w:ilvl w:val="0"/>
          <w:numId w:val="1016"/>
        </w:numPr>
        <w:pStyle w:val="Compact"/>
      </w:pPr>
      <w:r>
        <w:t xml:space="preserve">The End-of-Life scenario assumes a binary outcome of recycling or landfilling. More nuanced EoL pathways (e.g., incineration with energy recovery, downcycling) and specific material-level EoL factors would enhance precision. The qualitative information on circular/take-back programs (\'jwwgflqitk\') indicates a commitment to reducing EoL impact, but the quantitative impact relies on the recyclability rate (\'qjlwkdmwqn\') and avoided emissions methodology.</w:t>
      </w:r>
    </w:p>
    <w:bookmarkEnd w:id="47"/>
    <w:bookmarkStart w:id="48" w:name="recommendations-for-emission-reduction"/>
    <w:p>
      <w:pPr>
        <w:pStyle w:val="Heading3"/>
      </w:pPr>
      <w:r>
        <w:t xml:space="preserve">Recommendations for Emission Reduction</w:t>
      </w:r>
    </w:p>
    <w:p>
      <w:pPr>
        <w:numPr>
          <w:ilvl w:val="0"/>
          <w:numId w:val="1017"/>
        </w:numPr>
        <w:pStyle w:val="Compact"/>
      </w:pPr>
      <w:r>
        <w:rPr>
          <w:bCs/>
          <w:b/>
        </w:rPr>
        <w:t xml:space="preserve">Optimize Use Phase:</w:t>
      </w:r>
      <w:r>
        <w:t xml:space="preserve"> </w:t>
      </w:r>
      <w:r>
        <w:t xml:space="preserve">Given its dominant impact, efforts should focus on reducing the energy consumption of izlftphwve during its operational lifespan. This could involve design for energy efficiency, smart power management features, or exploring alternative power sources.</w:t>
      </w:r>
    </w:p>
    <w:p>
      <w:pPr>
        <w:numPr>
          <w:ilvl w:val="0"/>
          <w:numId w:val="1017"/>
        </w:numPr>
        <w:pStyle w:val="Compact"/>
      </w:pPr>
      <w:r>
        <w:rPr>
          <w:bCs/>
          <w:b/>
        </w:rPr>
        <w:t xml:space="preserve">Sustainable Material Sourcing:</w:t>
      </w:r>
      <w:r>
        <w:t xml:space="preserve"> </w:t>
      </w:r>
      <w:r>
        <w:t xml:space="preserve">Investigate lower-carbon alternatives for key materials identified in the BOM. Engage with suppliers to obtain primary, verified emission data for materials.</w:t>
      </w:r>
    </w:p>
    <w:p>
      <w:pPr>
        <w:numPr>
          <w:ilvl w:val="0"/>
          <w:numId w:val="1017"/>
        </w:numPr>
        <w:pStyle w:val="Compact"/>
      </w:pPr>
      <w:r>
        <w:rPr>
          <w:bCs/>
          <w:b/>
        </w:rPr>
        <w:t xml:space="preserve">Renewable Energy in Production:</w:t>
      </w:r>
      <w:r>
        <w:t xml:space="preserve"> </w:t>
      </w:r>
      <w:r>
        <w:t xml:space="preserve">Increase the percentage of renewable energy used in the manufacturing facility beyond the current 30% (\'vgxlinvdvo\') to further reduce Scope 2 emissions.</w:t>
      </w:r>
    </w:p>
    <w:p>
      <w:pPr>
        <w:numPr>
          <w:ilvl w:val="0"/>
          <w:numId w:val="1017"/>
        </w:numPr>
        <w:pStyle w:val="Compact"/>
      </w:pPr>
      <w:r>
        <w:rPr>
          <w:bCs/>
          <w:b/>
        </w:rPr>
        <w:t xml:space="preserve">Logistics Optimization:</w:t>
      </w:r>
      <w:r>
        <w:t xml:space="preserve"> </w:t>
      </w:r>
      <w:r>
        <w:t xml:space="preserve">Explore more efficient and lower-carbon transport modes (e.g., rail, sea freight where feasible) for longer distances and optimize load factors.</w:t>
      </w:r>
    </w:p>
    <w:p>
      <w:pPr>
        <w:numPr>
          <w:ilvl w:val="0"/>
          <w:numId w:val="1017"/>
        </w:numPr>
        <w:pStyle w:val="Compact"/>
      </w:pPr>
      <w:r>
        <w:rPr>
          <w:bCs/>
          <w:b/>
        </w:rPr>
        <w:t xml:space="preserve">Enhance Circularity:</w:t>
      </w:r>
      <w:r>
        <w:t xml:space="preserve"> </w:t>
      </w:r>
      <w:r>
        <w:t xml:space="preserve">Continue to strengthen circular/take-back programs (\'jwwgflqitk\') and aim to increase the recyclability percentage (\'qjlwkdmwqn\') beyond 60% to maximize material recovery and minimize virgin material demand.</w:t>
      </w:r>
    </w:p>
    <w:p>
      <w:r>
        <w:pict>
          <v:rect style="width:0;height:1.5pt" o:hralign="center" o:hrstd="t" o:hr="t"/>
        </w:pict>
      </w:r>
    </w:p>
    <w:bookmarkEnd w:id="48"/>
    <w:bookmarkEnd w:id="49"/>
    <w:bookmarkEnd w:id="50"/>
    <w:bookmarkStart w:id="51" w:name="conclusion"/>
    <w:p>
      <w:pPr>
        <w:pStyle w:val="Heading2"/>
      </w:pPr>
      <w:r>
        <w:t xml:space="preserve">Conclusion</w:t>
      </w:r>
    </w:p>
    <w:p>
      <w:pPr>
        <w:pStyle w:val="FirstParagraph"/>
      </w:pPr>
      <w:r>
        <w:t xml:space="preserve">The Product Carbon Footprint of</w:t>
      </w:r>
      <w:r>
        <w:t xml:space="preserve"> </w:t>
      </w:r>
      <w:r>
        <w:rPr>
          <w:bCs/>
          <w:b/>
        </w:rPr>
        <w:t xml:space="preserve">izlftphwve</w:t>
      </w:r>
      <w:r>
        <w:t xml:space="preserve"> </w:t>
      </w:r>
      <w:r>
        <w:t xml:space="preserve">is calculated to be</w:t>
      </w:r>
      <w:r>
        <w:t xml:space="preserve"> </w:t>
      </w:r>
      <w:r>
        <w:rPr>
          <w:bCs/>
          <w:b/>
        </w:rPr>
        <w:t xml:space="preserve">17.37 kg CO2e</w:t>
      </w:r>
      <w:r>
        <w:t xml:space="preserve"> </w:t>
      </w:r>
      <w:r>
        <w:t xml:space="preserve">per functional unit (1.0 unit) on a cradle-to-grave basis. This analysis, performed according to the</w:t>
      </w:r>
      <w:r>
        <w:t xml:space="preserve"> </w:t>
      </w:r>
      <w:r>
        <w:rPr>
          <w:bCs/>
          <w:b/>
        </w:rPr>
        <w:t xml:space="preserve">GHG Protocol</w:t>
      </w:r>
      <w:r>
        <w:t xml:space="preserve"> </w:t>
      </w:r>
      <w:r>
        <w:t xml:space="preserve">and considering the 2026 LSR update, provides</w:t>
      </w:r>
      <w:r>
        <w:t xml:space="preserve"> </w:t>
      </w:r>
      <w:r>
        <w:rPr>
          <w:bCs/>
          <w:b/>
        </w:rPr>
        <w:t xml:space="preserve">sfnjzxnvkg</w:t>
      </w:r>
      <w:r>
        <w:t xml:space="preserve"> </w:t>
      </w:r>
      <w:r>
        <w:t xml:space="preserve">with a clear understanding of its product\'s environmental impact. The significant contribution of the use phase highlights a critical area for future design and operational improvements. By addressing these hotspots through strategic interventions,</w:t>
      </w:r>
      <w:r>
        <w:t xml:space="preserve"> </w:t>
      </w:r>
      <w:r>
        <w:rPr>
          <w:bCs/>
          <w:b/>
        </w:rPr>
        <w:t xml:space="preserve">sfnjzxnvkg</w:t>
      </w:r>
      <w:r>
        <w:t xml:space="preserve"> </w:t>
      </w:r>
      <w:r>
        <w:t xml:space="preserve">can significantly reduce the environmental footprint of</w:t>
      </w:r>
      <w:r>
        <w:t xml:space="preserve"> </w:t>
      </w:r>
      <w:r>
        <w:rPr>
          <w:bCs/>
          <w:b/>
        </w:rPr>
        <w:t xml:space="preserve">izlftphwve</w:t>
      </w:r>
      <w:r>
        <w:t xml:space="preserve"> </w:t>
      </w:r>
      <w:r>
        <w:t xml:space="preserve">and demonstrate leadership in sustainability.</w:t>
      </w:r>
    </w:p>
    <w:bookmarkEnd w:id="51"/>
    <w:p>
      <w:pPr>
        <w:pStyle w:val="BodyText"/>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izlftphwve</dc:title>
  <dc:creator/>
  <dc:description>High-detail Product Carbon Footprint (PCF) analysis report for product izlftphwve, performed by Senior Sustainability Consultant rvjhgjjtnt for sfnjzxnvkg, adhering to GHG Protocol and 2026 LSR Update.</dc:description>
  <dc:language>en</dc:language>
  <cp:keywords/>
  <dcterms:created xsi:type="dcterms:W3CDTF">2026-05-30T20:09:58Z</dcterms:created>
  <dcterms:modified xsi:type="dcterms:W3CDTF">2026-05-30T20:09:58Z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