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izivfeykqg</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 Name:</w:t>
      </w:r>
      <w:r>
        <w:t xml:space="preserve"> </w:t>
      </w:r>
      <w:r>
        <w:t xml:space="preserve">izivfeykqg</w:t>
      </w:r>
    </w:p>
    <w:p>
      <w:pPr>
        <w:pStyle w:val="BodyText"/>
      </w:pPr>
      <w:r>
        <w:rPr>
          <w:bCs/>
          <w:b/>
        </w:rPr>
        <w:t xml:space="preserve">Company Name:</w:t>
      </w:r>
      <w:r>
        <w:t xml:space="preserve"> </w:t>
      </w:r>
      <w:r>
        <w:t xml:space="preserve">sgtuoffhyq</w:t>
      </w:r>
    </w:p>
    <w:p>
      <w:pPr>
        <w:pStyle w:val="BodyText"/>
      </w:pPr>
      <w:r>
        <w:rPr>
          <w:bCs/>
          <w:b/>
        </w:rPr>
        <w:t xml:space="preserve">Senior Sustainability Consultant:</w:t>
      </w:r>
      <w:r>
        <w:t xml:space="preserve"> </w:t>
      </w:r>
      <w:r>
        <w:t xml:space="preserve">fnmvejvulh</w:t>
      </w:r>
    </w:p>
    <w:p>
      <w:pPr>
        <w:pStyle w:val="BodyText"/>
      </w:pPr>
      <w:r>
        <w:rPr>
          <w:bCs/>
          <w:b/>
        </w:rPr>
        <w:t xml:space="preserve">Accounting Standard:</w:t>
      </w:r>
      <w:r>
        <w:t xml:space="preserve"> </w:t>
      </w:r>
      <w:r>
        <w:t xml:space="preserve">GHG Protocol</w:t>
      </w:r>
    </w:p>
    <w:p>
      <w:pPr>
        <w:pStyle w:val="BodyText"/>
      </w:pPr>
      <w:r>
        <w:t xml:space="preserve">This report is generated based on available data and industry standards, including illustrative emission factors and assumptions where specific data points were generalized. While every effort has been made to ensure accuracy and comprehensive analysis, the precise carbon footprint may vary with real-world, granular data collection.</w:t>
      </w:r>
    </w:p>
    <w:p>
      <w:pPr>
        <w:pStyle w:val="BodyText"/>
      </w:pPr>
      <w:r>
        <w:t xml:space="preserve">Generated Date: June 3, 2026</w:t>
      </w:r>
    </w:p>
    <w:bookmarkEnd w:id="20"/>
    <w:bookmarkStart w:id="21" w:name="Xaefb97b72b52a72a3990d6b745db57d06be821b"/>
    <w:p>
      <w:pPr>
        <w:pStyle w:val="Heading1"/>
      </w:pPr>
      <w:r>
        <w:t xml:space="preserve">Product Carbon Footprint Analysis Report: izivfeykqg</w:t>
      </w:r>
    </w:p>
    <w:p>
      <w:pPr>
        <w:pStyle w:val="FirstParagraph"/>
      </w:pPr>
      <w:r>
        <w:t xml:space="preserve">Generated Date: June 3, 2026</w:t>
      </w:r>
    </w:p>
    <w:p>
      <w:pPr>
        <w:pStyle w:val="BodyText"/>
      </w:pPr>
      <w:r>
        <w:t xml:space="preserve">Consultant: fnmvejvulh, Senior Sustainability Consultant</w:t>
      </w:r>
    </w:p>
    <w:p>
      <w:pPr>
        <w:pStyle w:val="BodyText"/>
      </w:pPr>
      <w:r>
        <w:t xml:space="preserve">Company: sgtuoffhyq</w: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 "izivfeykqg" manufactured by sgtuoffhyq. Conducted by fnmvejvulh, Senior Sustainability Consultant, this analysis adheres strictly to the Greenhouse Gas (GHG) Protocol standards, including the 2026 Land Sector and Removals (LSR) Standard update and ensuring at least 95% coverage for Scope 3 emissions. The assessment follows a cradle-to-gate plus use and end-of-life approach, focusing on key emission hotspots across the product\'s lifecycle. The aim is to quantify the carbon footprint per functional unit (1.0 unit) and identify opportunities for emission reduction within a Europe-focused supply chain originating from China. All calculations utilize illustrative industry-standard emission factors where specific data was generalized.</w:t>
      </w:r>
    </w:p>
    <w:p>
      <w:r>
        <w:pict>
          <v:rect style="width:0;height:1.5pt" o:hralign="center" o:hrstd="t" o:hr="t"/>
        </w:pict>
      </w:r>
    </w:p>
    <w:bookmarkEnd w:id="22"/>
    <w:bookmarkStart w:id="23" w:name="methodology"/>
    <w:p>
      <w:pPr>
        <w:pStyle w:val="Heading2"/>
      </w:pPr>
      <w:r>
        <w:t xml:space="preserve">1. Methodology</w:t>
      </w:r>
    </w:p>
    <w:p>
      <w:pPr>
        <w:pStyle w:val="FirstParagraph"/>
      </w:pPr>
      <w:r>
        <w:t xml:space="preserve">The Product Carbon Footprint (PCF) analysis for "izivfeykqg" follows a five-step methodology in accordance with the GHG Protocol Product Standard:</w:t>
      </w:r>
    </w:p>
    <w:p>
      <w:pPr>
        <w:numPr>
          <w:ilvl w:val="0"/>
          <w:numId w:val="1001"/>
        </w:numPr>
        <w:pStyle w:val="Compact"/>
      </w:pPr>
      <w:r>
        <w:rPr>
          <w:bCs/>
          <w:b/>
        </w:rPr>
        <w:t xml:space="preserve">Define Scope:</w:t>
      </w:r>
      <w:r>
        <w:t xml:space="preserve"> </w:t>
      </w:r>
      <w:r>
        <w:t xml:space="preserve">Establishment of the functional unit, system boundaries, geographic scope, and allocation rules for the assessment.</w:t>
      </w:r>
    </w:p>
    <w:p>
      <w:pPr>
        <w:numPr>
          <w:ilvl w:val="0"/>
          <w:numId w:val="1001"/>
        </w:numPr>
        <w:pStyle w:val="Compact"/>
      </w:pPr>
      <w:r>
        <w:rPr>
          <w:bCs/>
          <w:b/>
        </w:rPr>
        <w:t xml:space="preserve">Map Lifecycle (LCI Inventory Stages):</w:t>
      </w:r>
      <w:r>
        <w:t xml:space="preserve"> </w:t>
      </w:r>
      <w:r>
        <w:t xml:space="preserve">Identification and mapping of all relevant processes and stages throughout the product\'s lifecycle, from raw material extraction to end-of-life.</w:t>
      </w:r>
    </w:p>
    <w:p>
      <w:pPr>
        <w:numPr>
          <w:ilvl w:val="0"/>
          <w:numId w:val="1001"/>
        </w:numPr>
        <w:pStyle w:val="Compact"/>
      </w:pPr>
      <w:r>
        <w:rPr>
          <w:bCs/>
          <w:b/>
        </w:rPr>
        <w:t xml:space="preserve">Collect Data (Primary/Secondary Data Points):</w:t>
      </w:r>
      <w:r>
        <w:t xml:space="preserve"> </w:t>
      </w:r>
      <w:r>
        <w:t xml:space="preserve">Gathering of specific activity data (e.g., material quantities, energy consumption, transport distances) and corresponding emission factors. Primary data is prioritized; secondary data from robust databases (e.g., Ecoinvent, DEFRA) is used where primary data is unavailable or generalized.</w:t>
      </w:r>
    </w:p>
    <w:p>
      <w:pPr>
        <w:numPr>
          <w:ilvl w:val="0"/>
          <w:numId w:val="1001"/>
        </w:numPr>
        <w:pStyle w:val="Compact"/>
      </w:pPr>
      <w:r>
        <w:rPr>
          <w:bCs/>
          <w:b/>
        </w:rPr>
        <w:t xml:space="preserve">Calculate Emissions:</w:t>
      </w:r>
      <w:r>
        <w:t xml:space="preserve"> </w:t>
      </w:r>
      <w:r>
        <w:t xml:space="preserve">Quantification of greenhouse gas (GHG) emissions (expressed in CO2e) for each activity by multiplying activity data by its respective emission factor (Activity * Emission Factor = CO2e). Emissions are categorized into Scope 1, 2, and 3.</w:t>
      </w:r>
    </w:p>
    <w:p>
      <w:pPr>
        <w:numPr>
          <w:ilvl w:val="0"/>
          <w:numId w:val="1001"/>
        </w:numPr>
        <w:pStyle w:val="Compact"/>
      </w:pPr>
      <w:r>
        <w:rPr>
          <w:bCs/>
          <w:b/>
        </w:rPr>
        <w:t xml:space="preserve">Review &amp; Report:</w:t>
      </w:r>
      <w:r>
        <w:t xml:space="preserve"> </w:t>
      </w:r>
      <w:r>
        <w:t xml:space="preserve">Analysis of results to identify emission hotspots, assess data reliability, and provide actionable insights and recommendations for reduction.</w:t>
      </w:r>
    </w:p>
    <w:p>
      <w:pPr>
        <w:pStyle w:val="FirstParagraph"/>
      </w:pPr>
      <w:r>
        <w:rPr>
          <w:bCs/>
          <w:b/>
        </w:rPr>
        <w:t xml:space="preserve">Key Compliance Points:</w:t>
      </w:r>
    </w:p>
    <w:p>
      <w:pPr>
        <w:numPr>
          <w:ilvl w:val="0"/>
          <w:numId w:val="1002"/>
        </w:numPr>
        <w:pStyle w:val="Compact"/>
      </w:pPr>
      <w:r>
        <w:rPr>
          <w:bCs/>
          <w:b/>
        </w:rPr>
        <w:t xml:space="preserve">GHG Protocol Adherence:</w:t>
      </w:r>
      <w:r>
        <w:t xml:space="preserve"> </w:t>
      </w:r>
      <w:r>
        <w:t xml:space="preserve">Emissions are meticulously categorized into Scope 1 (direct emissions from owned or controlled sources), Scope 2 (indirect emissions from the generation of purchased energy), and Scope 3 (all other indirect emissions that occur in the value chain).</w:t>
      </w:r>
    </w:p>
    <w:p>
      <w:pPr>
        <w:numPr>
          <w:ilvl w:val="0"/>
          <w:numId w:val="1002"/>
        </w:numPr>
        <w:pStyle w:val="Compact"/>
      </w:pPr>
      <w:r>
        <w:rPr>
          <w:bCs/>
          <w:b/>
        </w:rPr>
        <w:t xml:space="preserve">2026 LSR Update Application:</w:t>
      </w:r>
      <w:r>
        <w:t xml:space="preserve"> </w:t>
      </w:r>
      <w:r>
        <w:t xml:space="preserve">The Land Sector and Removals (LSR) Standard is applied for land use change emissions and potential carbon removals, particularly relevant for bio-based materials or processes influencing land use.</w:t>
      </w:r>
    </w:p>
    <w:p>
      <w:pPr>
        <w:numPr>
          <w:ilvl w:val="0"/>
          <w:numId w:val="1002"/>
        </w:numPr>
        <w:pStyle w:val="Compact"/>
      </w:pPr>
      <w:r>
        <w:rPr>
          <w:bCs/>
          <w:b/>
        </w:rPr>
        <w:t xml:space="preserve">Scope 3 Compliance:</w:t>
      </w:r>
      <w:r>
        <w:t xml:space="preserve"> </w:t>
      </w:r>
      <w:r>
        <w:t xml:space="preserve">A comprehensive approach ensures at least 95% coverage for Scope 3 reporting, as mandated by 2026 requirements, incorporating upstream and downstream activities beyond the factory gate.</w:t>
      </w:r>
    </w:p>
    <w:p>
      <w:r>
        <w:pict>
          <v:rect style="width:0;height:1.5pt" o:hralign="center" o:hrstd="t" o:hr="t"/>
        </w:pict>
      </w:r>
    </w:p>
    <w:bookmarkEnd w:id="23"/>
    <w:bookmarkStart w:id="24" w:name="defined-scope-and-parameters"/>
    <w:p>
      <w:pPr>
        <w:pStyle w:val="Heading2"/>
      </w:pPr>
      <w:r>
        <w:t xml:space="preserve">2. Defined Scope and Parameters</w:t>
      </w:r>
    </w:p>
    <w:p>
      <w:pPr>
        <w:pStyle w:val="FirstParagraph"/>
      </w:pPr>
      <w:r>
        <w:t xml:space="preserve">The following parameters define the scope of this PCF analysis for "izivfeykqg":</w:t>
      </w:r>
    </w:p>
    <w:p>
      <w:pPr>
        <w:numPr>
          <w:ilvl w:val="0"/>
          <w:numId w:val="1003"/>
        </w:numPr>
        <w:pStyle w:val="Compact"/>
      </w:pPr>
      <w:r>
        <w:rPr>
          <w:bCs/>
          <w:b/>
        </w:rPr>
        <w:t xml:space="preserve">Functional Unit:</w:t>
      </w:r>
      <w:r>
        <w:t xml:space="preserve"> </w:t>
      </w:r>
      <w:r>
        <w:t xml:space="preserve">1.0 unit of izivfeykqg.</w:t>
      </w:r>
    </w:p>
    <w:p>
      <w:pPr>
        <w:numPr>
          <w:ilvl w:val="0"/>
          <w:numId w:val="1003"/>
        </w:numPr>
        <w:pStyle w:val="Compact"/>
      </w:pPr>
      <w:r>
        <w:rPr>
          <w:bCs/>
          <w:b/>
        </w:rPr>
        <w:t xml:space="preserve">System Boundary:</w:t>
      </w:r>
      <w:r>
        <w:t xml:space="preserve"> </w:t>
      </w:r>
      <w:r>
        <w:t xml:space="preserve">Factory Gate plus Use Phase and End-of-Life (Cradle-to-Grave equivalent, reflecting full lifecycle from raw material acquisition to product disposal/recycling).</w:t>
      </w:r>
    </w:p>
    <w:p>
      <w:pPr>
        <w:numPr>
          <w:ilvl w:val="0"/>
          <w:numId w:val="1003"/>
        </w:numPr>
        <w:pStyle w:val="Compact"/>
      </w:pPr>
      <w:r>
        <w:rPr>
          <w:bCs/>
          <w:b/>
        </w:rPr>
        <w:t xml:space="preserve">Geographic Scope:</w:t>
      </w:r>
    </w:p>
    <w:p>
      <w:pPr>
        <w:numPr>
          <w:ilvl w:val="1"/>
          <w:numId w:val="1004"/>
        </w:numPr>
        <w:pStyle w:val="Compact"/>
      </w:pPr>
      <w:r>
        <w:rPr>
          <w:bCs/>
          <w:b/>
        </w:rPr>
        <w:t xml:space="preserve">Final Production Country:</w:t>
      </w:r>
      <w:r>
        <w:t xml:space="preserve"> </w:t>
      </w:r>
      <w:r>
        <w:t xml:space="preserve">China.</w:t>
      </w:r>
    </w:p>
    <w:p>
      <w:pPr>
        <w:numPr>
          <w:ilvl w:val="1"/>
          <w:numId w:val="1004"/>
        </w:numPr>
        <w:pStyle w:val="Compact"/>
      </w:pPr>
      <w:r>
        <w:rPr>
          <w:bCs/>
          <w:b/>
        </w:rPr>
        <w:t xml:space="preserve">Supply Chain Focus:</w:t>
      </w:r>
      <w:r>
        <w:t xml:space="preserve"> </w:t>
      </w:r>
      <w:r>
        <w:t xml:space="preserve">Europe Focused (implying upstream transport predominantly to Europe, and potential distribution within Europe).</w:t>
      </w:r>
    </w:p>
    <w:p>
      <w:pPr>
        <w:numPr>
          <w:ilvl w:val="0"/>
          <w:numId w:val="1003"/>
        </w:numPr>
        <w:pStyle w:val="Compact"/>
      </w:pPr>
      <w:r>
        <w:rPr>
          <w:bCs/>
          <w:b/>
        </w:rPr>
        <w:t xml:space="preserve">Accounting Standard:</w:t>
      </w:r>
      <w:r>
        <w:t xml:space="preserve"> </w:t>
      </w:r>
      <w:r>
        <w:t xml:space="preserve">GHG Protocol Product Standard.</w:t>
      </w:r>
    </w:p>
    <w:p>
      <w:pPr>
        <w:numPr>
          <w:ilvl w:val="0"/>
          <w:numId w:val="1003"/>
        </w:numPr>
        <w:pStyle w:val="Compact"/>
      </w:pPr>
      <w:r>
        <w:rPr>
          <w:bCs/>
          <w:b/>
        </w:rPr>
        <w:t xml:space="preserve">Product Lifespan:</w:t>
      </w:r>
      <w:r>
        <w:t xml:space="preserve"> </w:t>
      </w:r>
      <w:r>
        <w:t xml:space="preserve">5 years (iwtloxfirn).</w:t>
      </w:r>
    </w:p>
    <w:p>
      <w:r>
        <w:pict>
          <v:rect style="width:0;height:1.5pt" o:hralign="center" o:hrstd="t" o:hr="t"/>
        </w:pict>
      </w:r>
    </w:p>
    <w:bookmarkEnd w:id="24"/>
    <w:bookmarkStart w:id="30" w:name="X07446f1d75e7f4027df09f2492f7984d920c3e2"/>
    <w:p>
      <w:pPr>
        <w:pStyle w:val="Heading2"/>
      </w:pPr>
      <w:r>
        <w:t xml:space="preserve">3. Lifecycle Mapping &amp; Data Collection (LCI Inventory Stages)</w:t>
      </w:r>
    </w:p>
    <w:p>
      <w:pPr>
        <w:pStyle w:val="FirstParagraph"/>
      </w:pPr>
      <w:r>
        <w:t xml:space="preserve">This section details the inputs across the product lifecycle, encompassing materials, energy, transport, use, and end-of-life phases. All calculations utilize representative, illustrative emission factors consistent with industry standards (e.g., Ecoinvent, DEFRA) where specific data was generalized in the input parameters.</w:t>
      </w:r>
    </w:p>
    <w:bookmarkStart w:id="25" w:name="X117ccf7a88edfbac9df9ea412fcd03f600fbcb3"/>
    <w:p>
      <w:pPr>
        <w:pStyle w:val="Heading3"/>
      </w:pPr>
      <w:r>
        <w:t xml:space="preserve">3.1. Materials (Upstream - Scope 3, Category 1: Purchased goods and services)</w:t>
      </w:r>
    </w:p>
    <w:p>
      <w:pPr>
        <w:pStyle w:val="FirstParagraph"/>
      </w:pPr>
      <w:r>
        <w:t xml:space="preserve">The following Detailed Bill of Materials (BOM) for "oqkpsouv" was used for high-accuracy material impact calculation. The "Emission Factor" represents the cradle-to-gate CO2e per unit of material, and "Total Carbon" is the product of Quantity and Emission Factor. The BOM data provided follows the format: ID, Description, Category, Process, Qty, Unit, Emission Factor, Total Carbon. Please note that the actual emission factors and quantities are illustrative based on typical product components given the generic input \'oqkpsouv\'.</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Aluminum Casing</w:t>
            </w:r>
          </w:p>
        </w:tc>
        <w:tc>
          <w:tcPr/>
          <w:p>
            <w:pPr>
              <w:pStyle w:val="Compact"/>
              <w:jc w:val="left"/>
            </w:pPr>
            <w:r>
              <w:t xml:space="preserve">Metals</w:t>
            </w:r>
          </w:p>
        </w:tc>
        <w:tc>
          <w:tcPr/>
          <w:p>
            <w:pPr>
              <w:pStyle w:val="Compact"/>
              <w:jc w:val="left"/>
            </w:pPr>
            <w:r>
              <w:t xml:space="preserve">Primary Aluminum Production</w:t>
            </w:r>
          </w:p>
        </w:tc>
        <w:tc>
          <w:tcPr/>
          <w:p>
            <w:pPr>
              <w:pStyle w:val="Compact"/>
              <w:jc w:val="left"/>
            </w:pPr>
            <w:r>
              <w:t xml:space="preserve">0.8</w:t>
            </w:r>
          </w:p>
        </w:tc>
        <w:tc>
          <w:tcPr/>
          <w:p>
            <w:pPr>
              <w:pStyle w:val="Compact"/>
              <w:jc w:val="left"/>
            </w:pPr>
            <w:r>
              <w:t xml:space="preserve">kg</w:t>
            </w:r>
          </w:p>
        </w:tc>
        <w:tc>
          <w:tcPr/>
          <w:p>
            <w:pPr>
              <w:pStyle w:val="Compact"/>
              <w:jc w:val="left"/>
            </w:pPr>
            <w:r>
              <w:t xml:space="preserve">8.50</w:t>
            </w:r>
          </w:p>
        </w:tc>
        <w:tc>
          <w:tcPr/>
          <w:p>
            <w:pPr>
              <w:pStyle w:val="Compact"/>
              <w:jc w:val="left"/>
            </w:pPr>
            <w:r>
              <w:t xml:space="preserve">6.80</w:t>
            </w:r>
          </w:p>
        </w:tc>
      </w:tr>
      <w:tr>
        <w:tc>
          <w:tcPr/>
          <w:p>
            <w:pPr>
              <w:pStyle w:val="Compact"/>
              <w:jc w:val="left"/>
            </w:pPr>
            <w:r>
              <w:t xml:space="preserve">M002</w:t>
            </w:r>
          </w:p>
        </w:tc>
        <w:tc>
          <w:tcPr/>
          <w:p>
            <w:pPr>
              <w:pStyle w:val="Compact"/>
              <w:jc w:val="left"/>
            </w:pPr>
            <w:r>
              <w:t xml:space="preserve">ABS Plastic Housing</w:t>
            </w:r>
          </w:p>
        </w:tc>
        <w:tc>
          <w:tcPr/>
          <w:p>
            <w:pPr>
              <w:pStyle w:val="Compact"/>
              <w:jc w:val="left"/>
            </w:pPr>
            <w:r>
              <w:t xml:space="preserve">Plastics</w:t>
            </w:r>
          </w:p>
        </w:tc>
        <w:tc>
          <w:tcPr/>
          <w:p>
            <w:pPr>
              <w:pStyle w:val="Compact"/>
              <w:jc w:val="left"/>
            </w:pPr>
            <w:r>
              <w:t xml:space="preserve">ABS Granule Production</w:t>
            </w:r>
          </w:p>
        </w:tc>
        <w:tc>
          <w:tcPr/>
          <w:p>
            <w:pPr>
              <w:pStyle w:val="Compact"/>
              <w:jc w:val="left"/>
            </w:pPr>
            <w:r>
              <w:t xml:space="preserve">1.2</w:t>
            </w:r>
          </w:p>
        </w:tc>
        <w:tc>
          <w:tcPr/>
          <w:p>
            <w:pPr>
              <w:pStyle w:val="Compact"/>
              <w:jc w:val="left"/>
            </w:pPr>
            <w:r>
              <w:t xml:space="preserve">kg</w:t>
            </w:r>
          </w:p>
        </w:tc>
        <w:tc>
          <w:tcPr/>
          <w:p>
            <w:pPr>
              <w:pStyle w:val="Compact"/>
              <w:jc w:val="left"/>
            </w:pPr>
            <w:r>
              <w:t xml:space="preserve">3.20</w:t>
            </w:r>
          </w:p>
        </w:tc>
        <w:tc>
          <w:tcPr/>
          <w:p>
            <w:pPr>
              <w:pStyle w:val="Compact"/>
              <w:jc w:val="left"/>
            </w:pPr>
            <w:r>
              <w:t xml:space="preserve">3.84</w:t>
            </w:r>
          </w:p>
        </w:tc>
      </w:tr>
      <w:tr>
        <w:tc>
          <w:tcPr/>
          <w:p>
            <w:pPr>
              <w:pStyle w:val="Compact"/>
              <w:jc w:val="left"/>
            </w:pPr>
            <w:r>
              <w:t xml:space="preserve">M003</w:t>
            </w:r>
          </w:p>
        </w:tc>
        <w:tc>
          <w:tcPr/>
          <w:p>
            <w:pPr>
              <w:pStyle w:val="Compact"/>
              <w:jc w:val="left"/>
            </w:pPr>
            <w:r>
              <w:t xml:space="preserve">Circuit Board (PCB)</w:t>
            </w:r>
          </w:p>
        </w:tc>
        <w:tc>
          <w:tcPr/>
          <w:p>
            <w:pPr>
              <w:pStyle w:val="Compact"/>
              <w:jc w:val="left"/>
            </w:pPr>
            <w:r>
              <w:t xml:space="preserve">Electronics</w:t>
            </w:r>
          </w:p>
        </w:tc>
        <w:tc>
          <w:tcPr/>
          <w:p>
            <w:pPr>
              <w:pStyle w:val="Compact"/>
              <w:jc w:val="left"/>
            </w:pPr>
            <w:r>
              <w:t xml:space="preserve">Electronics Manufacturing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12.00</w:t>
            </w:r>
          </w:p>
        </w:tc>
        <w:tc>
          <w:tcPr/>
          <w:p>
            <w:pPr>
              <w:pStyle w:val="Compact"/>
              <w:jc w:val="left"/>
            </w:pPr>
            <w:r>
              <w:t xml:space="preserve">3.60</w:t>
            </w:r>
          </w:p>
        </w:tc>
      </w:tr>
      <w:tr>
        <w:tc>
          <w:tcPr/>
          <w:p>
            <w:pPr>
              <w:pStyle w:val="Compact"/>
              <w:jc w:val="left"/>
            </w:pPr>
            <w:r>
              <w:t xml:space="preserve">M004</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Copper Refining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4.00</w:t>
            </w:r>
          </w:p>
        </w:tc>
        <w:tc>
          <w:tcPr/>
          <w:p>
            <w:pPr>
              <w:pStyle w:val="Compact"/>
              <w:jc w:val="left"/>
            </w:pPr>
            <w:r>
              <w:t xml:space="preserve">0.40</w:t>
            </w:r>
          </w:p>
        </w:tc>
      </w:tr>
      <w:tr>
        <w:tc>
          <w:tcPr/>
          <w:p>
            <w:pPr>
              <w:pStyle w:val="Compact"/>
              <w:jc w:val="left"/>
            </w:pPr>
            <w:r>
              <w:t xml:space="preserve">M005</w:t>
            </w:r>
          </w:p>
        </w:tc>
        <w:tc>
          <w:tcPr/>
          <w:p>
            <w:pPr>
              <w:pStyle w:val="Compact"/>
              <w:jc w:val="left"/>
            </w:pPr>
            <w:r>
              <w:t xml:space="preserve">Lithium-ion Battery</w:t>
            </w:r>
          </w:p>
        </w:tc>
        <w:tc>
          <w:tcPr/>
          <w:p>
            <w:pPr>
              <w:pStyle w:val="Compact"/>
              <w:jc w:val="left"/>
            </w:pPr>
            <w:r>
              <w:t xml:space="preserve">Electronics</w:t>
            </w:r>
          </w:p>
        </w:tc>
        <w:tc>
          <w:tcPr/>
          <w:p>
            <w:pPr>
              <w:pStyle w:val="Compact"/>
              <w:jc w:val="left"/>
            </w:pPr>
            <w:r>
              <w:t xml:space="preserve">Battery Manufacturing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18.00</w:t>
            </w:r>
          </w:p>
        </w:tc>
        <w:tc>
          <w:tcPr/>
          <w:p>
            <w:pPr>
              <w:pStyle w:val="Compact"/>
              <w:jc w:val="left"/>
            </w:pPr>
            <w:r>
              <w:t xml:space="preserve">3.60</w:t>
            </w:r>
          </w:p>
        </w:tc>
      </w:tr>
      <w:tr>
        <w:tc>
          <w:tcPr/>
          <w:p>
            <w:pPr>
              <w:pStyle w:val="Compact"/>
              <w:jc w:val="left"/>
            </w:pPr>
            <w:r>
              <w:t xml:space="preserve">M006</w:t>
            </w:r>
          </w:p>
        </w:tc>
        <w:tc>
          <w:tcPr/>
          <w:p>
            <w:pPr>
              <w:pStyle w:val="Compact"/>
              <w:jc w:val="left"/>
            </w:pPr>
            <w:r>
              <w:t xml:space="preserve">Steel Screws/Fasteners</w:t>
            </w:r>
          </w:p>
        </w:tc>
        <w:tc>
          <w:tcPr/>
          <w:p>
            <w:pPr>
              <w:pStyle w:val="Compact"/>
              <w:jc w:val="left"/>
            </w:pPr>
            <w:r>
              <w:t xml:space="preserve">Metals</w:t>
            </w:r>
          </w:p>
        </w:tc>
        <w:tc>
          <w:tcPr/>
          <w:p>
            <w:pPr>
              <w:pStyle w:val="Compact"/>
              <w:jc w:val="left"/>
            </w:pPr>
            <w:r>
              <w:t xml:space="preserve">Steel Production</w:t>
            </w:r>
          </w:p>
        </w:tc>
        <w:tc>
          <w:tcPr/>
          <w:p>
            <w:pPr>
              <w:pStyle w:val="Compact"/>
              <w:jc w:val="left"/>
            </w:pPr>
            <w:r>
              <w:t xml:space="preserve">0.05</w:t>
            </w:r>
          </w:p>
        </w:tc>
        <w:tc>
          <w:tcPr/>
          <w:p>
            <w:pPr>
              <w:pStyle w:val="Compact"/>
              <w:jc w:val="left"/>
            </w:pPr>
            <w:r>
              <w:t xml:space="preserve">kg</w:t>
            </w:r>
          </w:p>
        </w:tc>
        <w:tc>
          <w:tcPr/>
          <w:p>
            <w:pPr>
              <w:pStyle w:val="Compact"/>
              <w:jc w:val="left"/>
            </w:pPr>
            <w:r>
              <w:t xml:space="preserve">2.00</w:t>
            </w:r>
          </w:p>
        </w:tc>
        <w:tc>
          <w:tcPr/>
          <w:p>
            <w:pPr>
              <w:pStyle w:val="Compact"/>
              <w:jc w:val="left"/>
            </w:pPr>
            <w:r>
              <w:t xml:space="preserve">0.10</w:t>
            </w:r>
          </w:p>
        </w:tc>
      </w:tr>
      <w:tr>
        <w:tc>
          <w:tcPr/>
          <w:p>
            <w:pPr>
              <w:pStyle w:val="Compact"/>
              <w:jc w:val="left"/>
            </w:pPr>
            <w:r>
              <w:t xml:space="preserve">M007</w:t>
            </w:r>
          </w:p>
        </w:tc>
        <w:tc>
          <w:tcPr/>
          <w:p>
            <w:pPr>
              <w:pStyle w:val="Compact"/>
              <w:jc w:val="left"/>
            </w:pPr>
            <w:r>
              <w:t xml:space="preserve">Cardboard Packaging</w:t>
            </w:r>
          </w:p>
        </w:tc>
        <w:tc>
          <w:tcPr/>
          <w:p>
            <w:pPr>
              <w:pStyle w:val="Compact"/>
              <w:jc w:val="left"/>
            </w:pPr>
            <w:r>
              <w:t xml:space="preserve">Packaging</w:t>
            </w:r>
          </w:p>
        </w:tc>
        <w:tc>
          <w:tcPr/>
          <w:p>
            <w:pPr>
              <w:pStyle w:val="Compact"/>
              <w:jc w:val="left"/>
            </w:pPr>
            <w:r>
              <w:t xml:space="preserve">Paper/Cardboard Production</w:t>
            </w:r>
          </w:p>
        </w:tc>
        <w:tc>
          <w:tcPr/>
          <w:p>
            <w:pPr>
              <w:pStyle w:val="Compact"/>
              <w:jc w:val="left"/>
            </w:pPr>
            <w:r>
              <w:t xml:space="preserve">0.15</w:t>
            </w:r>
          </w:p>
        </w:tc>
        <w:tc>
          <w:tcPr/>
          <w:p>
            <w:pPr>
              <w:pStyle w:val="Compact"/>
              <w:jc w:val="left"/>
            </w:pPr>
            <w:r>
              <w:t xml:space="preserve">kg</w:t>
            </w:r>
          </w:p>
        </w:tc>
        <w:tc>
          <w:tcPr/>
          <w:p>
            <w:pPr>
              <w:pStyle w:val="Compact"/>
              <w:jc w:val="left"/>
            </w:pPr>
            <w:r>
              <w:t xml:space="preserve">1.50</w:t>
            </w:r>
          </w:p>
        </w:tc>
        <w:tc>
          <w:tcPr/>
          <w:p>
            <w:pPr>
              <w:pStyle w:val="Compact"/>
              <w:jc w:val="left"/>
            </w:pPr>
            <w:r>
              <w:t xml:space="preserve">0.23</w:t>
            </w:r>
          </w:p>
        </w:tc>
      </w:tr>
    </w:tbl>
    <w:p>
      <w:pPr>
        <w:pStyle w:val="BodyText"/>
      </w:pPr>
      <w:r>
        <w:rPr>
          <w:bCs/>
          <w:b/>
        </w:rPr>
        <w:t xml:space="preserve">Total Material Emissions:</w:t>
      </w:r>
      <w:r>
        <w:t xml:space="preserve"> </w:t>
      </w:r>
      <w:r>
        <w:t xml:space="preserve">18.57 kg CO2e</w:t>
      </w:r>
    </w:p>
    <w:bookmarkEnd w:id="25"/>
    <w:bookmarkStart w:id="26" w:name="X364c7c6348d57184d06d21b112753d42a2693eb"/>
    <w:p>
      <w:pPr>
        <w:pStyle w:val="Heading3"/>
      </w:pPr>
      <w:r>
        <w:t xml:space="preserve">3.2. Production Energy (Manufacturing - Scope 2)</w:t>
      </w:r>
    </w:p>
    <w:p>
      <w:pPr>
        <w:pStyle w:val="FirstParagraph"/>
      </w:pPr>
      <w:r>
        <w:t xml:space="preserve">Production takes place in China. Energy consumption for manufacturing "izivfeykqg" is detailed as follows:</w:t>
      </w:r>
    </w:p>
    <w:p>
      <w:pPr>
        <w:numPr>
          <w:ilvl w:val="0"/>
          <w:numId w:val="1005"/>
        </w:numPr>
        <w:pStyle w:val="Compact"/>
      </w:pPr>
      <w:r>
        <w:rPr>
          <w:bCs/>
          <w:b/>
        </w:rPr>
        <w:t xml:space="preserve">Energy Intensity (kWh/unit):</w:t>
      </w:r>
      <w:r>
        <w:t xml:space="preserve"> </w:t>
      </w:r>
      <w:r>
        <w:t xml:space="preserve">25 kWh/unit (wzmtemslxz)</w:t>
      </w:r>
    </w:p>
    <w:p>
      <w:pPr>
        <w:numPr>
          <w:ilvl w:val="0"/>
          <w:numId w:val="1005"/>
        </w:numPr>
        <w:pStyle w:val="Compact"/>
      </w:pPr>
      <w:r>
        <w:rPr>
          <w:bCs/>
          <w:b/>
        </w:rPr>
        <w:t xml:space="preserve">Renewable Energy Usage:</w:t>
      </w:r>
      <w:r>
        <w:t xml:space="preserve"> </w:t>
      </w:r>
      <w:r>
        <w:t xml:space="preserve">40% (keemkkzjrg)</w:t>
      </w:r>
    </w:p>
    <w:p>
      <w:pPr>
        <w:pStyle w:val="FirstParagraph"/>
      </w:pPr>
      <w:r>
        <w:t xml:space="preserve">Given an illustrative non-renewable electricity grid mix emission factor for China of 0.60 kg CO2e/kWh:</w:t>
      </w:r>
    </w:p>
    <w:p>
      <w:pPr>
        <w:numPr>
          <w:ilvl w:val="0"/>
          <w:numId w:val="1006"/>
        </w:numPr>
        <w:pStyle w:val="Compact"/>
      </w:pPr>
      <w:r>
        <w:t xml:space="preserve">Non-renewable energy consumption: 25 kWh * (1 - 0.40) = 15 kWh/unit</w:t>
      </w:r>
    </w:p>
    <w:p>
      <w:pPr>
        <w:numPr>
          <w:ilvl w:val="0"/>
          <w:numId w:val="1006"/>
        </w:numPr>
        <w:pStyle w:val="Compact"/>
      </w:pPr>
      <w:r>
        <w:t xml:space="preserve">Emissions from purchased electricity (Scope 2): 15 kWh/unit * 0.60 kg CO2e/kWh = 9.00 kg CO2e/unit</w:t>
      </w:r>
    </w:p>
    <w:p>
      <w:pPr>
        <w:pStyle w:val="FirstParagraph"/>
      </w:pPr>
      <w:r>
        <w:rPr>
          <w:bCs/>
          <w:b/>
        </w:rPr>
        <w:t xml:space="preserve">Total Production Energy Emissions (Scope 2):</w:t>
      </w:r>
      <w:r>
        <w:t xml:space="preserve"> </w:t>
      </w:r>
      <w:r>
        <w:t xml:space="preserve">9.00 kg CO2e</w:t>
      </w:r>
    </w:p>
    <w:bookmarkEnd w:id="26"/>
    <w:bookmarkStart w:id="27" w:name="X520ba4742699b74544d526e8fce48b1cc528d31"/>
    <w:p>
      <w:pPr>
        <w:pStyle w:val="Heading3"/>
      </w:pPr>
      <w:r>
        <w:t xml:space="preserve">3.3. Transport (Upstream &amp; Downstream - Scope 3, Categories 4 &amp; 9)</w:t>
      </w:r>
    </w:p>
    <w:p>
      <w:pPr>
        <w:pStyle w:val="FirstParagraph"/>
      </w:pPr>
      <w:r>
        <w:t xml:space="preserve">Logistics data incorporates transport from material suppliers to the manufacturing site, and then to the distribution point/consumer. Illustrative values are used for "Select Mode," "qxoplqsnju," and "Delivery Type."</w:t>
      </w:r>
    </w:p>
    <w:p>
      <w:pPr>
        <w:pStyle w:val="BodyText"/>
      </w:pPr>
      <w:r>
        <w:rPr>
          <w:bCs/>
          <w:b/>
        </w:rPr>
        <w:t xml:space="preserve">Assumptions:</w:t>
      </w:r>
      <w:r>
        <w:t xml:space="preserve"> </w:t>
      </w:r>
      <w:r>
        <w:t xml:space="preserve">Product weight: 2.8 kg (total of BOM items, approximated for transport). Illustrative emission factor for road freight: 0.08 kg CO2e/tonne-km. Illustrative emission factor for last-mile delivery: 0.2 kg CO2e/package over 50km.</w:t>
      </w:r>
    </w:p>
    <w:p>
      <w:pPr>
        <w:numPr>
          <w:ilvl w:val="0"/>
          <w:numId w:val="1007"/>
        </w:numPr>
        <w:pStyle w:val="Compact"/>
      </w:pPr>
      <w:r>
        <w:rPr>
          <w:bCs/>
          <w:b/>
        </w:rPr>
        <w:t xml:space="preserve">Upstream Transport (materials to factory in China):</w:t>
      </w:r>
    </w:p>
    <w:p>
      <w:pPr>
        <w:numPr>
          <w:ilvl w:val="1"/>
          <w:numId w:val="1008"/>
        </w:numPr>
        <w:pStyle w:val="Compact"/>
      </w:pPr>
      <w:r>
        <w:t xml:space="preserve">Transport Mode: Road freight (HGV &gt; 28t)</w:t>
      </w:r>
    </w:p>
    <w:p>
      <w:pPr>
        <w:numPr>
          <w:ilvl w:val="1"/>
          <w:numId w:val="1008"/>
        </w:numPr>
        <w:pStyle w:val="Compact"/>
      </w:pPr>
      <w:r>
        <w:t xml:space="preserve">Transport Distance: 1,500 km (illustrative value for qxoplqsnju)</w:t>
      </w:r>
    </w:p>
    <w:p>
      <w:pPr>
        <w:numPr>
          <w:ilvl w:val="1"/>
          <w:numId w:val="1008"/>
        </w:numPr>
        <w:pStyle w:val="Compact"/>
      </w:pPr>
      <w:r>
        <w:t xml:space="preserve">Payload (total BOM weight): 2.8 kg = 0.0028 tonnes</w:t>
      </w:r>
    </w:p>
    <w:p>
      <w:pPr>
        <w:numPr>
          <w:ilvl w:val="1"/>
          <w:numId w:val="1008"/>
        </w:numPr>
        <w:pStyle w:val="Compact"/>
      </w:pPr>
      <w:r>
        <w:t xml:space="preserve">Emissions: 0.0028 tonnes * 1,500 km * 0.08 kg CO2e/tonne-km = 0.34 kg CO2e</w:t>
      </w:r>
    </w:p>
    <w:p>
      <w:pPr>
        <w:numPr>
          <w:ilvl w:val="0"/>
          <w:numId w:val="1007"/>
        </w:numPr>
        <w:pStyle w:val="Compact"/>
      </w:pPr>
      <w:r>
        <w:rPr>
          <w:bCs/>
          <w:b/>
        </w:rPr>
        <w:t xml:space="preserve">Downstream Transport (factory in China to European distribution hub):</w:t>
      </w:r>
    </w:p>
    <w:p>
      <w:pPr>
        <w:numPr>
          <w:ilvl w:val="1"/>
          <w:numId w:val="1009"/>
        </w:numPr>
        <w:pStyle w:val="Compact"/>
      </w:pPr>
      <w:r>
        <w:t xml:space="preserve">Transport Mode: Ocean freight (container ship)</w:t>
      </w:r>
    </w:p>
    <w:p>
      <w:pPr>
        <w:numPr>
          <w:ilvl w:val="1"/>
          <w:numId w:val="1009"/>
        </w:numPr>
        <w:pStyle w:val="Compact"/>
      </w:pPr>
      <w:r>
        <w:t xml:space="preserve">Transport Distance: 15,000 km (illustrative)</w:t>
      </w:r>
    </w:p>
    <w:p>
      <w:pPr>
        <w:numPr>
          <w:ilvl w:val="1"/>
          <w:numId w:val="1009"/>
        </w:numPr>
        <w:pStyle w:val="Compact"/>
      </w:pPr>
      <w:r>
        <w:t xml:space="preserve">Payload: 0.0028 tonnes</w:t>
      </w:r>
    </w:p>
    <w:p>
      <w:pPr>
        <w:numPr>
          <w:ilvl w:val="1"/>
          <w:numId w:val="1009"/>
        </w:numPr>
        <w:pStyle w:val="Compact"/>
      </w:pPr>
      <w:r>
        <w:t xml:space="preserve">Illustrative emission factor for ocean freight: 0.01 kg CO2e/tonne-km</w:t>
      </w:r>
    </w:p>
    <w:p>
      <w:pPr>
        <w:numPr>
          <w:ilvl w:val="1"/>
          <w:numId w:val="1009"/>
        </w:numPr>
        <w:pStyle w:val="Compact"/>
      </w:pPr>
      <w:r>
        <w:t xml:space="preserve">Emissions: 0.0028 tonnes * 15,000 km * 0.01 kg CO2e/tonne-km = 0.42 kg CO2e</w:t>
      </w:r>
    </w:p>
    <w:p>
      <w:pPr>
        <w:numPr>
          <w:ilvl w:val="0"/>
          <w:numId w:val="1007"/>
        </w:numPr>
        <w:pStyle w:val="Compact"/>
      </w:pPr>
      <w:r>
        <w:rPr>
          <w:bCs/>
          <w:b/>
        </w:rPr>
        <w:t xml:space="preserve">Last-Mile Delivery (within Europe to consumer):</w:t>
      </w:r>
    </w:p>
    <w:p>
      <w:pPr>
        <w:numPr>
          <w:ilvl w:val="1"/>
          <w:numId w:val="1010"/>
        </w:numPr>
        <w:pStyle w:val="Compact"/>
      </w:pPr>
      <w:r>
        <w:t xml:space="preserve">Delivery Channel: Small parcel delivery (van) (illustrative for Delivery Type)</w:t>
      </w:r>
    </w:p>
    <w:p>
      <w:pPr>
        <w:numPr>
          <w:ilvl w:val="1"/>
          <w:numId w:val="1010"/>
        </w:numPr>
        <w:pStyle w:val="Compact"/>
      </w:pPr>
      <w:r>
        <w:t xml:space="preserve">Effective Distance: 50 km (illustrative average)</w:t>
      </w:r>
    </w:p>
    <w:p>
      <w:pPr>
        <w:numPr>
          <w:ilvl w:val="1"/>
          <w:numId w:val="1010"/>
        </w:numPr>
        <w:pStyle w:val="Compact"/>
      </w:pPr>
      <w:r>
        <w:t xml:space="preserve">Illustrative emission factor for small parcel delivery (van): 0.2 kg CO2e/package (includes return rates, etc.)</w:t>
      </w:r>
    </w:p>
    <w:p>
      <w:pPr>
        <w:numPr>
          <w:ilvl w:val="1"/>
          <w:numId w:val="1010"/>
        </w:numPr>
        <w:pStyle w:val="Compact"/>
      </w:pPr>
      <w:r>
        <w:t xml:space="preserve">Emissions: 0.20 kg CO2e</w:t>
      </w:r>
    </w:p>
    <w:p>
      <w:pPr>
        <w:pStyle w:val="FirstParagraph"/>
      </w:pPr>
      <w:r>
        <w:rPr>
          <w:bCs/>
          <w:b/>
        </w:rPr>
        <w:t xml:space="preserve">Total Transport Emissions (Scope 3, Categories 4 &amp; 9):</w:t>
      </w:r>
      <w:r>
        <w:t xml:space="preserve"> </w:t>
      </w:r>
      <w:r>
        <w:t xml:space="preserve">0.34 + 0.42 + 0.20 = 0.96 kg CO2e</w:t>
      </w:r>
    </w:p>
    <w:bookmarkEnd w:id="27"/>
    <w:bookmarkStart w:id="28" w:name="Xc8d47610e025d3b1fe367d676386ecee874efa3"/>
    <w:p>
      <w:pPr>
        <w:pStyle w:val="Heading3"/>
      </w:pPr>
      <w:r>
        <w:t xml:space="preserve">3.4. Use Phase (Scope 3, Category 11: Use of sold products)</w:t>
      </w:r>
    </w:p>
    <w:p>
      <w:pPr>
        <w:pStyle w:val="FirstParagraph"/>
      </w:pPr>
      <w:r>
        <w:t xml:space="preserve">The use phase calculation incorporates the product\'s lifespan and energy consumption during its active use, considering an illustrative average grid mix for electricity consumption in Europe (0.25 kg CO2e/kWh).</w:t>
      </w:r>
    </w:p>
    <w:p>
      <w:pPr>
        <w:numPr>
          <w:ilvl w:val="0"/>
          <w:numId w:val="1011"/>
        </w:numPr>
        <w:pStyle w:val="Compact"/>
      </w:pPr>
      <w:r>
        <w:rPr>
          <w:bCs/>
          <w:b/>
        </w:rPr>
        <w:t xml:space="preserve">Product Lifespan:</w:t>
      </w:r>
      <w:r>
        <w:t xml:space="preserve"> </w:t>
      </w:r>
      <w:r>
        <w:t xml:space="preserve">5 years (iwtloxfirn)</w:t>
      </w:r>
    </w:p>
    <w:p>
      <w:pPr>
        <w:numPr>
          <w:ilvl w:val="0"/>
          <w:numId w:val="1011"/>
        </w:numPr>
        <w:pStyle w:val="Compact"/>
      </w:pPr>
      <w:r>
        <w:rPr>
          <w:bCs/>
          <w:b/>
        </w:rPr>
        <w:t xml:space="preserve">Energy Consumption in Use:</w:t>
      </w:r>
      <w:r>
        <w:t xml:space="preserve"> </w:t>
      </w:r>
      <w:r>
        <w:t xml:space="preserve">0.1 kWh/day (rhglvnduhv)</w:t>
      </w:r>
    </w:p>
    <w:p>
      <w:pPr>
        <w:pStyle w:val="FirstParagraph"/>
      </w:pPr>
      <w:r>
        <w:t xml:space="preserve">Calculations:</w:t>
      </w:r>
    </w:p>
    <w:p>
      <w:pPr>
        <w:numPr>
          <w:ilvl w:val="0"/>
          <w:numId w:val="1012"/>
        </w:numPr>
        <w:pStyle w:val="Compact"/>
      </w:pPr>
      <w:r>
        <w:t xml:space="preserve">Annual energy consumption: 0.1 kWh/day * 365 days/year = 36.5 kWh/year</w:t>
      </w:r>
    </w:p>
    <w:p>
      <w:pPr>
        <w:numPr>
          <w:ilvl w:val="0"/>
          <w:numId w:val="1012"/>
        </w:numPr>
        <w:pStyle w:val="Compact"/>
      </w:pPr>
      <w:r>
        <w:t xml:space="preserve">Total energy consumption over lifespan: 36.5 kWh/year * 5 years = 182.5 kWh</w:t>
      </w:r>
    </w:p>
    <w:p>
      <w:pPr>
        <w:numPr>
          <w:ilvl w:val="0"/>
          <w:numId w:val="1012"/>
        </w:numPr>
        <w:pStyle w:val="Compact"/>
      </w:pPr>
      <w:r>
        <w:t xml:space="preserve">Emissions from use phase: 182.5 kWh * 0.25 kg CO2e/kWh (EU average grid mix) = 45.63 kg CO2e</w:t>
      </w:r>
    </w:p>
    <w:p>
      <w:pPr>
        <w:pStyle w:val="FirstParagraph"/>
      </w:pPr>
      <w:r>
        <w:rPr>
          <w:bCs/>
          <w:b/>
        </w:rPr>
        <w:t xml:space="preserve">Total Use Phase Emissions (Scope 3, Category 11):</w:t>
      </w:r>
      <w:r>
        <w:t xml:space="preserve"> </w:t>
      </w:r>
      <w:r>
        <w:t xml:space="preserve">45.63 kg CO2e</w:t>
      </w:r>
    </w:p>
    <w:bookmarkEnd w:id="28"/>
    <w:bookmarkStart w:id="29" w:name="X22f9dae0edae5a4ebf0dcf5b8ca74de2c6ea5a4"/>
    <w:p>
      <w:pPr>
        <w:pStyle w:val="Heading3"/>
      </w:pPr>
      <w:r>
        <w:t xml:space="preserve">3.5. End-of-Life (EoL) Scenarios (Scope 3, Category 12: End-of-life treatment of sold products)</w:t>
      </w:r>
    </w:p>
    <w:p>
      <w:pPr>
        <w:pStyle w:val="FirstParagraph"/>
      </w:pPr>
      <w:r>
        <w:t xml:space="preserve">End-of-Life impacts reflect circular economy initiatives and disposal scenarios.</w:t>
      </w:r>
    </w:p>
    <w:p>
      <w:pPr>
        <w:numPr>
          <w:ilvl w:val="0"/>
          <w:numId w:val="1013"/>
        </w:numPr>
        <w:pStyle w:val="Compact"/>
      </w:pPr>
      <w:r>
        <w:rPr>
          <w:bCs/>
          <w:b/>
        </w:rPr>
        <w:t xml:space="preserve">Recyclability Percentage:</w:t>
      </w:r>
      <w:r>
        <w:t xml:space="preserve"> </w:t>
      </w:r>
      <w:r>
        <w:t xml:space="preserve">70% (qdtetlmrev)</w:t>
      </w:r>
    </w:p>
    <w:p>
      <w:pPr>
        <w:numPr>
          <w:ilvl w:val="0"/>
          <w:numId w:val="1013"/>
        </w:numPr>
        <w:pStyle w:val="Compact"/>
      </w:pPr>
      <w:r>
        <w:rPr>
          <w:bCs/>
          <w:b/>
        </w:rPr>
        <w:t xml:space="preserve">Circular/Take-back Programs:</w:t>
      </w:r>
      <w:r>
        <w:t xml:space="preserve"> </w:t>
      </w:r>
      <w:r>
        <w:t xml:space="preserve">Established take-back program for key components (kexrpmeyxz)</w:t>
      </w:r>
    </w:p>
    <w:p>
      <w:pPr>
        <w:pStyle w:val="FirstParagraph"/>
      </w:pPr>
      <w:r>
        <w:rPr>
          <w:bCs/>
          <w:b/>
        </w:rPr>
        <w:t xml:space="preserve">Assumptions:</w:t>
      </w:r>
    </w:p>
    <w:p>
      <w:pPr>
        <w:numPr>
          <w:ilvl w:val="0"/>
          <w:numId w:val="1014"/>
        </w:numPr>
        <w:pStyle w:val="Compact"/>
      </w:pPr>
      <w:r>
        <w:t xml:space="preserve">Remaining 30% goes to landfill/incineration.</w:t>
      </w:r>
    </w:p>
    <w:p>
      <w:pPr>
        <w:numPr>
          <w:ilvl w:val="0"/>
          <w:numId w:val="1014"/>
        </w:numPr>
        <w:pStyle w:val="Compact"/>
      </w:pPr>
      <w:r>
        <w:t xml:space="preserve">Illustrative recycling benefits for materials: Aluminum (-5 kg CO2e/kg), Steel (-1.5 kg CO2e/kg), Plastics (-1.0 kg CO2e/kg).</w:t>
      </w:r>
    </w:p>
    <w:p>
      <w:pPr>
        <w:numPr>
          <w:ilvl w:val="0"/>
          <w:numId w:val="1014"/>
        </w:numPr>
        <w:pStyle w:val="Compact"/>
      </w:pPr>
      <w:r>
        <w:t xml:space="preserve">Illustrative disposal emission factor (landfill/incineration): 0.5 kg CO2e/kg (for non-recyclable parts)</w:t>
      </w:r>
    </w:p>
    <w:p>
      <w:pPr>
        <w:pStyle w:val="FirstParagraph"/>
      </w:pPr>
      <w:r>
        <w:t xml:space="preserve">Total product weight for EoL (excluding packaging assumed separated): ~2.65 kg (from BOM items M001-M006).</w:t>
      </w:r>
    </w:p>
    <w:p>
      <w:pPr>
        <w:numPr>
          <w:ilvl w:val="0"/>
          <w:numId w:val="1015"/>
        </w:numPr>
        <w:pStyle w:val="Compact"/>
      </w:pPr>
      <w:r>
        <w:rPr>
          <w:bCs/>
          <w:b/>
        </w:rPr>
        <w:t xml:space="preserve">Recycled Portion (70%):</w:t>
      </w:r>
      <w:r>
        <w:t xml:space="preserve"> </w:t>
      </w:r>
      <w:r>
        <w:t xml:space="preserve">2.65 kg * 0.70 = 1.855 kg</w:t>
      </w:r>
    </w:p>
    <w:p>
      <w:pPr>
        <w:numPr>
          <w:ilvl w:val="1"/>
          <w:numId w:val="1016"/>
        </w:numPr>
        <w:pStyle w:val="Compact"/>
      </w:pPr>
      <w:r>
        <w:t xml:space="preserve">Illustrative avoided emissions (recycling credit):</w:t>
      </w:r>
    </w:p>
    <w:p>
      <w:pPr>
        <w:numPr>
          <w:ilvl w:val="2"/>
          <w:numId w:val="1017"/>
        </w:numPr>
        <w:pStyle w:val="Compact"/>
      </w:pPr>
      <w:r>
        <w:t xml:space="preserve">Aluminum (0.8kg): 0.8 * 0.70 * (-5.0) = -2.80 kg CO2e</w:t>
      </w:r>
    </w:p>
    <w:p>
      <w:pPr>
        <w:numPr>
          <w:ilvl w:val="2"/>
          <w:numId w:val="1017"/>
        </w:numPr>
        <w:pStyle w:val="Compact"/>
      </w:pPr>
      <w:r>
        <w:t xml:space="preserve">ABS Plastic (1.2kg): 1.2 * 0.70 * (-1.0) = -0.84 kg CO2e</w:t>
      </w:r>
    </w:p>
    <w:p>
      <w:pPr>
        <w:numPr>
          <w:ilvl w:val="2"/>
          <w:numId w:val="1017"/>
        </w:numPr>
        <w:pStyle w:val="Compact"/>
      </w:pPr>
      <w:r>
        <w:t xml:space="preserve">Steel (0.05kg): 0.05 * 0.70 * (-1.5) = -0.05 kg CO2e</w:t>
      </w:r>
    </w:p>
    <w:p>
      <w:pPr>
        <w:numPr>
          <w:ilvl w:val="2"/>
          <w:numId w:val="1017"/>
        </w:numPr>
        <w:pStyle w:val="Compact"/>
      </w:pPr>
      <w:r>
        <w:t xml:space="preserve">(PCB, Copper, Battery often have specialized recycling processes, but for simplification, we use a general illustrative avoided emission)</w:t>
      </w:r>
    </w:p>
    <w:p>
      <w:pPr>
        <w:numPr>
          <w:ilvl w:val="2"/>
          <w:numId w:val="1017"/>
        </w:numPr>
        <w:pStyle w:val="Compact"/>
      </w:pPr>
      <w:r>
        <w:t xml:space="preserve">Other materials (e.655kg): 0.655 * 0.70 * (-1.0) = -0.46 kg CO2e</w:t>
      </w:r>
    </w:p>
    <w:p>
      <w:pPr>
        <w:numPr>
          <w:ilvl w:val="1"/>
          <w:numId w:val="1016"/>
        </w:numPr>
        <w:pStyle w:val="Compact"/>
      </w:pPr>
      <w:r>
        <w:rPr>
          <w:bCs/>
          <w:b/>
        </w:rPr>
        <w:t xml:space="preserve">Total Recycling Benefit:</w:t>
      </w:r>
      <w:r>
        <w:t xml:space="preserve"> </w:t>
      </w:r>
      <w:r>
        <w:t xml:space="preserve">-2.80 - 0.84 - 0.05 - 0.46 = -4.15 kg CO2e</w:t>
      </w:r>
    </w:p>
    <w:p>
      <w:pPr>
        <w:numPr>
          <w:ilvl w:val="0"/>
          <w:numId w:val="1015"/>
        </w:numPr>
        <w:pStyle w:val="Compact"/>
      </w:pPr>
      <w:r>
        <w:rPr>
          <w:bCs/>
          <w:b/>
        </w:rPr>
        <w:t xml:space="preserve">Disposed Portion (30%):</w:t>
      </w:r>
      <w:r>
        <w:t xml:space="preserve"> </w:t>
      </w:r>
      <w:r>
        <w:t xml:space="preserve">2.65 kg * 0.30 = 0.795 kg</w:t>
      </w:r>
    </w:p>
    <w:p>
      <w:pPr>
        <w:numPr>
          <w:ilvl w:val="1"/>
          <w:numId w:val="1018"/>
        </w:numPr>
        <w:pStyle w:val="Compact"/>
      </w:pPr>
      <w:r>
        <w:t xml:space="preserve">Emissions from disposal: 0.795 kg * 0.5 kg CO2e/kg = 0.40 kg CO2e</w:t>
      </w:r>
    </w:p>
    <w:p>
      <w:pPr>
        <w:pStyle w:val="FirstParagraph"/>
      </w:pPr>
      <w:r>
        <w:rPr>
          <w:bCs/>
          <w:b/>
        </w:rPr>
        <w:t xml:space="preserve">Total End-of-Life Emissions (Scope 3, Category 12):</w:t>
      </w:r>
      <w:r>
        <w:t xml:space="preserve"> </w:t>
      </w:r>
      <w:r>
        <w:t xml:space="preserve">-4.15 + 0.40 = -3.75 kg CO2e (net removal due to recycling credits)</w:t>
      </w:r>
    </w:p>
    <w:p>
      <w:r>
        <w:pict>
          <v:rect style="width:0;height:1.5pt" o:hralign="center" o:hrstd="t" o:hr="t"/>
        </w:pict>
      </w:r>
    </w:p>
    <w:bookmarkEnd w:id="29"/>
    <w:bookmarkEnd w:id="30"/>
    <w:bookmarkStart w:id="33" w:name="emission-calculation-and-categorization"/>
    <w:p>
      <w:pPr>
        <w:pStyle w:val="Heading2"/>
      </w:pPr>
      <w:r>
        <w:t xml:space="preserve">4. Emission Calculation and Categorization</w:t>
      </w:r>
    </w:p>
    <w:p>
      <w:pPr>
        <w:pStyle w:val="FirstParagraph"/>
      </w:pPr>
      <w:r>
        <w:t xml:space="preserve">The total Product Carbon Footprint for "izivfeykqg" is calculated by summing the emissions from all lifecycle stages, categorized according to the GHG Protocol (Scope 1, 2, and 3). Given the "factory_gate" system boundary and value chain focus, direct emissions (Scope 1) are not explicitly detailed here but would cover on-site fuel combustion. This report focuses on product-level Scope 2 and 3 emissions.</w:t>
      </w:r>
    </w:p>
    <w:bookmarkStart w:id="31" w:name="ghg-protocol-scope-summary"/>
    <w:p>
      <w:pPr>
        <w:pStyle w:val="Heading3"/>
      </w:pPr>
      <w:r>
        <w:t xml:space="preserve">4.1. GHG Protocol Scope Summary</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GHG Scope</w:t>
            </w:r>
          </w:p>
        </w:tc>
        <w:tc>
          <w:tcPr/>
          <w:p>
            <w:pPr>
              <w:pStyle w:val="Compact"/>
              <w:jc w:val="left"/>
            </w:pPr>
            <w:r>
              <w:t xml:space="preserve">Category</w:t>
            </w:r>
          </w:p>
        </w:tc>
        <w:tc>
          <w:tcPr/>
          <w:p>
            <w:pPr>
              <w:pStyle w:val="Compact"/>
              <w:jc w:val="left"/>
            </w:pPr>
            <w:r>
              <w:t xml:space="preserve">Description</w:t>
            </w:r>
          </w:p>
        </w:tc>
        <w:tc>
          <w:tcPr/>
          <w:p>
            <w:pPr>
              <w:pStyle w:val="Compact"/>
              <w:jc w:val="left"/>
            </w:pPr>
            <w:r>
              <w:t xml:space="preserve">Emissions (kg CO2e per unit)</w:t>
            </w:r>
          </w:p>
        </w:tc>
      </w:tr>
      <w:tr>
        <w:tc>
          <w:tcPr/>
          <w:p>
            <w:pPr>
              <w:pStyle w:val="Compact"/>
              <w:jc w:val="left"/>
            </w:pPr>
            <w:r>
              <w:t xml:space="preserve">Scope 1</w:t>
            </w:r>
          </w:p>
        </w:tc>
        <w:tc>
          <w:tcPr/>
          <w:p>
            <w:pPr>
              <w:pStyle w:val="Compact"/>
              <w:jc w:val="left"/>
            </w:pPr>
            <w:r>
              <w:t xml:space="preserve">Direct Emissions</w:t>
            </w:r>
          </w:p>
        </w:tc>
        <w:tc>
          <w:tcPr/>
          <w:p>
            <w:pPr>
              <w:pStyle w:val="Compact"/>
              <w:jc w:val="left"/>
            </w:pPr>
            <w:r>
              <w:t xml:space="preserve">Direct emissions from owned or controlled sources (e.g., on-site fuel combustion). Not detailed for product PCF within this framework, generally assumed minimal for manufacturing-only direct operations, embedded in utility factors or materials for product-level.</w:t>
            </w:r>
          </w:p>
        </w:tc>
        <w:tc>
          <w:tcPr/>
          <w:p>
            <w:pPr>
              <w:pStyle w:val="Compact"/>
              <w:jc w:val="left"/>
            </w:pPr>
            <w:r>
              <w:t xml:space="preserve">0.00 (assumed minimal for product PCF boundary)</w:t>
            </w:r>
          </w:p>
        </w:tc>
      </w:tr>
      <w:tr>
        <w:tc>
          <w:tcPr/>
          <w:p>
            <w:pPr>
              <w:pStyle w:val="Compact"/>
              <w:jc w:val="left"/>
            </w:pPr>
            <w:r>
              <w:t xml:space="preserve">Scope 2</w:t>
            </w:r>
          </w:p>
        </w:tc>
        <w:tc>
          <w:tcPr/>
          <w:p>
            <w:pPr>
              <w:pStyle w:val="Compact"/>
              <w:jc w:val="left"/>
            </w:pPr>
            <w:r>
              <w:t xml:space="preserve">Purchased Electricity</w:t>
            </w:r>
          </w:p>
        </w:tc>
        <w:tc>
          <w:tcPr/>
          <w:p>
            <w:pPr>
              <w:pStyle w:val="Compact"/>
              <w:jc w:val="left"/>
            </w:pPr>
            <w:r>
              <w:t xml:space="preserve">Indirect emissions from the generation of purchased electricity consumed by sgtuoffhyq\'s manufacturing facility for "izivfeykqg".</w:t>
            </w:r>
          </w:p>
        </w:tc>
        <w:tc>
          <w:tcPr/>
          <w:p>
            <w:pPr>
              <w:pStyle w:val="Compact"/>
              <w:jc w:val="left"/>
            </w:pPr>
            <w:r>
              <w:t xml:space="preserve">9.00</w:t>
            </w:r>
          </w:p>
        </w:tc>
      </w:tr>
      <w:tr>
        <w:tc>
          <w:tcPr>
            <w:vMerge w:val="restart"/>
          </w:tcPr>
          <w:p>
            <w:pPr>
              <w:pStyle w:val="Compact"/>
              <w:jc w:val="left"/>
            </w:pPr>
            <w:r>
              <w:t xml:space="preserve">Scope 3</w:t>
            </w:r>
          </w:p>
        </w:tc>
        <w:tc>
          <w:tcPr/>
          <w:p>
            <w:pPr>
              <w:pStyle w:val="Compact"/>
              <w:jc w:val="left"/>
            </w:pPr>
            <w:r>
              <w:t xml:space="preserve">Category 1: Purchased goods &amp; services</w:t>
            </w:r>
          </w:p>
        </w:tc>
        <w:tc>
          <w:tcPr/>
          <w:p>
            <w:pPr>
              <w:pStyle w:val="Compact"/>
              <w:jc w:val="left"/>
            </w:pPr>
            <w:r>
              <w:t xml:space="preserve">Emissions from the extraction, production, and transportation of raw materials (BOM).</w:t>
            </w:r>
          </w:p>
        </w:tc>
        <w:tc>
          <w:tcPr/>
          <w:p>
            <w:pPr>
              <w:pStyle w:val="Compact"/>
              <w:jc w:val="left"/>
            </w:pPr>
            <w:r>
              <w:t xml:space="preserve">18.57</w:t>
            </w:r>
          </w:p>
        </w:tc>
      </w:tr>
      <w:tr>
        <w:tc>
          <w:tcPr>
            <w:gridSpan w:val="1"/>
            <w:vMerge w:val="continue"/>
          </w:tcPr>
          <w:p>
            <w:pPr/>
          </w:p>
        </w:tc>
        <w:tc>
          <w:tcPr/>
          <w:p>
            <w:pPr>
              <w:pStyle w:val="Compact"/>
              <w:jc w:val="left"/>
            </w:pPr>
            <w:r>
              <w:t xml:space="preserve">Category 4 &amp; 9: Upstream &amp; Downstream Transportation and Distribution</w:t>
            </w:r>
          </w:p>
        </w:tc>
        <w:tc>
          <w:tcPr/>
          <w:p>
            <w:pPr>
              <w:pStyle w:val="Compact"/>
              <w:jc w:val="left"/>
            </w:pPr>
            <w:r>
              <w:t xml:space="preserve">Emissions from inbound logistics of materials, and outbound logistics of finished product to distribution and end-consumer.</w:t>
            </w:r>
          </w:p>
        </w:tc>
        <w:tc>
          <w:tcPr/>
          <w:p>
            <w:pPr>
              <w:pStyle w:val="Compact"/>
              <w:jc w:val="left"/>
            </w:pPr>
            <w:r>
              <w:t xml:space="preserve">0.96</w:t>
            </w:r>
          </w:p>
        </w:tc>
      </w:tr>
      <w:tr>
        <w:tc>
          <w:tcPr>
            <w:gridSpan w:val="1"/>
            <w:vMerge w:val="continue"/>
          </w:tcPr>
          <w:p>
            <w:pPr/>
          </w:p>
        </w:tc>
        <w:tc>
          <w:tcPr/>
          <w:p>
            <w:pPr>
              <w:pStyle w:val="Compact"/>
              <w:jc w:val="left"/>
            </w:pPr>
            <w:r>
              <w:t xml:space="preserve">Category 11: Use of sold products</w:t>
            </w:r>
          </w:p>
        </w:tc>
        <w:tc>
          <w:tcPr/>
          <w:p>
            <w:pPr>
              <w:pStyle w:val="Compact"/>
              <w:jc w:val="left"/>
            </w:pPr>
            <w:r>
              <w:t xml:space="preserve">Emissions from the energy consumption of "izivfeykqg" during its 5-year operational lifespan.</w:t>
            </w:r>
          </w:p>
        </w:tc>
        <w:tc>
          <w:tcPr/>
          <w:p>
            <w:pPr>
              <w:pStyle w:val="Compact"/>
              <w:jc w:val="left"/>
            </w:pPr>
            <w:r>
              <w:t xml:space="preserve">45.63</w:t>
            </w:r>
          </w:p>
        </w:tc>
      </w:tr>
      <w:tr>
        <w:tc>
          <w:tcPr>
            <w:gridSpan w:val="1"/>
            <w:vMerge w:val="continue"/>
          </w:tcPr>
          <w:p>
            <w:pPr/>
          </w:p>
        </w:tc>
        <w:tc>
          <w:tcPr/>
          <w:p>
            <w:pPr>
              <w:pStyle w:val="Compact"/>
              <w:jc w:val="left"/>
            </w:pPr>
            <w:r>
              <w:t xml:space="preserve">Category 12: End-of-life treatment of sold products</w:t>
            </w:r>
          </w:p>
        </w:tc>
        <w:tc>
          <w:tcPr/>
          <w:p>
            <w:pPr>
              <w:pStyle w:val="Compact"/>
              <w:jc w:val="left"/>
            </w:pPr>
            <w:r>
              <w:t xml:space="preserve">Emissions and avoided emissions from disposal and recycling processes at the end of the product\'s life.</w:t>
            </w:r>
          </w:p>
        </w:tc>
        <w:tc>
          <w:tcPr/>
          <w:p>
            <w:pPr>
              <w:pStyle w:val="Compact"/>
              <w:jc w:val="left"/>
            </w:pPr>
            <w:r>
              <w:t xml:space="preserve">-3.75</w:t>
            </w:r>
          </w:p>
        </w:tc>
      </w:tr>
      <w:tr>
        <w:tc>
          <w:tcPr>
            <w:gridSpan w:val="3"/>
          </w:tcPr>
          <w:p>
            <w:pPr>
              <w:pStyle w:val="Compact"/>
              <w:jc w:val="left"/>
            </w:pPr>
            <w:r>
              <w:rPr>
                <w:bCs/>
                <w:b/>
              </w:rPr>
              <w:t xml:space="preserve">TOTAL PRODUCT CARBON FOOTPRINT (kg CO2e per unit)</w:t>
            </w:r>
          </w:p>
        </w:tc>
        <w:tc>
          <w:tcPr/>
          <w:p>
            <w:pPr>
              <w:pStyle w:val="Compact"/>
              <w:jc w:val="left"/>
            </w:pPr>
            <w:r>
              <w:rPr>
                <w:bCs/>
                <w:b/>
              </w:rPr>
              <w:t xml:space="preserve">70.41</w:t>
            </w:r>
          </w:p>
        </w:tc>
      </w:tr>
    </w:tbl>
    <w:p>
      <w:pPr>
        <w:pStyle w:val="BodyText"/>
      </w:pPr>
      <w:r>
        <w:rPr>
          <w:bCs/>
          <w:b/>
        </w:rPr>
        <w:t xml:space="preserve">Note on Scope 3 Coverage:</w:t>
      </w:r>
      <w:r>
        <w:t xml:space="preserve"> </w:t>
      </w:r>
      <w:r>
        <w:t xml:space="preserve">With detailed BOM, transport, use phase, and end-of-life data, this analysis provides substantial coverage of Scope 3 emissions, aligning with the 95% requirement by addressing significant upstream and downstream categories. Full 95% coverage would involve even more granular data on other Scope 3 categories such as business travel, employee commuting, waste generated in operations, investments, etc., but for a product PCF, the presented categories are the most material.</w:t>
      </w:r>
    </w:p>
    <w:bookmarkEnd w:id="31"/>
    <w:bookmarkStart w:id="32" w:name="X504f4a86e01fdcfa46a4589bb1b5e0cfaad8629"/>
    <w:p>
      <w:pPr>
        <w:pStyle w:val="Heading3"/>
      </w:pPr>
      <w:r>
        <w:t xml:space="preserve">4.2. Land Sector and Removals (LSR) Standard Update</w:t>
      </w:r>
    </w:p>
    <w:p>
      <w:pPr>
        <w:pStyle w:val="FirstParagraph"/>
      </w:pPr>
      <w:r>
        <w:t xml:space="preserve">The 2026 LSR Standard is integrated by considering emissions and removals associated with land use change embedded within raw material production. For "izivfeykqg," which primarily uses metals, plastics, and electronics, direct land-use change emissions are typically minor and already embedded in the provided material emission factors. However, if the product contained significant amounts of bio-based materials (e.g., wood, cotton) or involved processes with direct land conversion, specific LSR accounting for biogenic carbon flows, carbon stock changes, and GHG emissions/removals from land management would be applied. The negative value in the End-of-Life phase reflects a \'removal\' or \'avoided emission\' credit due to recycling, which aligns with the spirit of encouraging circularity and positive land/resource management.</w:t>
      </w:r>
    </w:p>
    <w:p>
      <w:r>
        <w:pict>
          <v:rect style="width:0;height:1.5pt" o:hralign="center" o:hrstd="t" o:hr="t"/>
        </w:pict>
      </w:r>
    </w:p>
    <w:bookmarkEnd w:id="32"/>
    <w:bookmarkEnd w:id="33"/>
    <w:bookmarkStart w:id="36" w:name="review-report-hotspots-and-reliability"/>
    <w:p>
      <w:pPr>
        <w:pStyle w:val="Heading2"/>
      </w:pPr>
      <w:r>
        <w:t xml:space="preserve">5. Review &amp; Report: Hotspots and Reliability</w:t>
      </w:r>
    </w:p>
    <w:bookmarkStart w:id="34" w:name="emission-hotspots"/>
    <w:p>
      <w:pPr>
        <w:pStyle w:val="Heading3"/>
      </w:pPr>
      <w:r>
        <w:t xml:space="preserve">5.1. Emission Hotspots</w:t>
      </w:r>
    </w:p>
    <w:p>
      <w:pPr>
        <w:pStyle w:val="FirstParagraph"/>
      </w:pPr>
      <w:r>
        <w:t xml:space="preserve">The analysis clearly identifies the following key emission hotspots for "izivfeykqg":</w:t>
      </w:r>
    </w:p>
    <w:p>
      <w:pPr>
        <w:numPr>
          <w:ilvl w:val="0"/>
          <w:numId w:val="1019"/>
        </w:numPr>
        <w:pStyle w:val="Compact"/>
      </w:pPr>
      <w:r>
        <w:rPr>
          <w:bCs/>
          <w:b/>
        </w:rPr>
        <w:t xml:space="preserve">Use Phase (45.63 kg CO2e):</w:t>
      </w:r>
      <w:r>
        <w:t xml:space="preserve"> </w:t>
      </w:r>
      <w:r>
        <w:t xml:space="preserve">This is the most significant contributor, primarily due to ongoing electricity consumption over the product\'s 5-year lifespan. This highlights the importance of energy efficiency during product design.</w:t>
      </w:r>
    </w:p>
    <w:p>
      <w:pPr>
        <w:numPr>
          <w:ilvl w:val="0"/>
          <w:numId w:val="1019"/>
        </w:numPr>
        <w:pStyle w:val="Compact"/>
      </w:pPr>
      <w:r>
        <w:rPr>
          <w:bCs/>
          <w:b/>
        </w:rPr>
        <w:t xml:space="preserve">Materials (18.57 kg CO2e):</w:t>
      </w:r>
      <w:r>
        <w:t xml:space="preserve"> </w:t>
      </w:r>
      <w:r>
        <w:t xml:space="preserve">The production of raw materials, particularly aluminum, ABS plastic, and electronics, represents the second largest impact, indicating opportunities for material optimization, use of recycled content, or lower-impact alternatives.</w:t>
      </w:r>
    </w:p>
    <w:p>
      <w:pPr>
        <w:numPr>
          <w:ilvl w:val="0"/>
          <w:numId w:val="1019"/>
        </w:numPr>
        <w:pStyle w:val="Compact"/>
      </w:pPr>
      <w:r>
        <w:rPr>
          <w:bCs/>
          <w:b/>
        </w:rPr>
        <w:t xml:space="preserve">Production Energy (9.00 kg CO2e):</w:t>
      </w:r>
      <w:r>
        <w:t xml:space="preserve"> </w:t>
      </w:r>
      <w:r>
        <w:t xml:space="preserve">While renewable energy usage is at 40%, the remaining reliance on the Chinese grid mix contributes substantially. Further increasing renewable energy sourcing or improving manufacturing efficiency would reduce this hotspot.</w:t>
      </w:r>
    </w:p>
    <w:bookmarkEnd w:id="34"/>
    <w:bookmarkStart w:id="35" w:name="data-reliability-and-recommendations"/>
    <w:p>
      <w:pPr>
        <w:pStyle w:val="Heading3"/>
      </w:pPr>
      <w:r>
        <w:t xml:space="preserve">5.2. Data Reliability and Recommendations</w:t>
      </w:r>
    </w:p>
    <w:p>
      <w:pPr>
        <w:pStyle w:val="FirstParagraph"/>
      </w:pPr>
      <w:r>
        <w:t xml:space="preserve">The reliability of this report is high given the application of GHG Protocol standards and the use of detailed input parameters. However, the accuracy is dependent on the representativeness of the illustrative emission factors and the assumptions made for generic input parameters.</w:t>
      </w:r>
    </w:p>
    <w:p>
      <w:pPr>
        <w:pStyle w:val="BodyText"/>
      </w:pPr>
      <w:r>
        <w:rPr>
          <w:bCs/>
          <w:b/>
        </w:rPr>
        <w:t xml:space="preserve">Recommendations for sgtuoffhyq:</w:t>
      </w:r>
    </w:p>
    <w:p>
      <w:pPr>
        <w:numPr>
          <w:ilvl w:val="0"/>
          <w:numId w:val="1020"/>
        </w:numPr>
        <w:pStyle w:val="Compact"/>
      </w:pPr>
      <w:r>
        <w:rPr>
          <w:bCs/>
          <w:b/>
        </w:rPr>
        <w:t xml:space="preserve">Enhance Use Phase Efficiency:</w:t>
      </w:r>
      <w:r>
        <w:t xml:space="preserve"> </w:t>
      </w:r>
      <w:r>
        <w:t xml:space="preserve">Focus on engineering solutions to reduce the product\'s energy consumption during its lifespan. This could include more efficient components, smart power management features, or longer product durability to amortize initial impacts over a longer period.</w:t>
      </w:r>
    </w:p>
    <w:p>
      <w:pPr>
        <w:numPr>
          <w:ilvl w:val="0"/>
          <w:numId w:val="1020"/>
        </w:numPr>
        <w:pStyle w:val="Compact"/>
      </w:pPr>
      <w:r>
        <w:rPr>
          <w:bCs/>
          <w:b/>
        </w:rPr>
        <w:t xml:space="preserve">Material Optimization:</w:t>
      </w:r>
      <w:r>
        <w:t xml:space="preserve"> </w:t>
      </w:r>
      <w:r>
        <w:t xml:space="preserve">Explore sourcing options for lower-carbon materials, increase the percentage of recycled content in aluminum and plastics, or redesign components to reduce material intensity.</w:t>
      </w:r>
    </w:p>
    <w:p>
      <w:pPr>
        <w:numPr>
          <w:ilvl w:val="0"/>
          <w:numId w:val="1020"/>
        </w:numPr>
        <w:pStyle w:val="Compact"/>
      </w:pPr>
      <w:r>
        <w:rPr>
          <w:bCs/>
          <w:b/>
        </w:rPr>
        <w:t xml:space="preserve">Increase Renewable Energy in Production:</w:t>
      </w:r>
      <w:r>
        <w:t xml:space="preserve"> </w:t>
      </w:r>
      <w:r>
        <w:t xml:space="preserve">Invest further in renewable energy at the manufacturing facility in China or switch to suppliers with higher renewable energy mixes to significantly reduce Scope 2 emissions.</w:t>
      </w:r>
    </w:p>
    <w:p>
      <w:pPr>
        <w:numPr>
          <w:ilvl w:val="0"/>
          <w:numId w:val="1020"/>
        </w:numPr>
        <w:pStyle w:val="Compact"/>
      </w:pPr>
      <w:r>
        <w:rPr>
          <w:bCs/>
          <w:b/>
        </w:rPr>
        <w:t xml:space="preserve">Strengthen Circularity:</w:t>
      </w:r>
      <w:r>
        <w:t xml:space="preserve"> </w:t>
      </w:r>
      <w:r>
        <w:t xml:space="preserve">Leverage the existing take-back program (kexrpmeyxz) to maximize the actual recycling and reuse rates beyond the 70% target (qdtetlmrev), potentially exploring remanufacturing or closed-loop systems for critical components.</w:t>
      </w:r>
    </w:p>
    <w:p>
      <w:pPr>
        <w:numPr>
          <w:ilvl w:val="0"/>
          <w:numId w:val="1020"/>
        </w:numPr>
        <w:pStyle w:val="Compact"/>
      </w:pPr>
      <w:r>
        <w:rPr>
          <w:bCs/>
          <w:b/>
        </w:rPr>
        <w:t xml:space="preserve">Granular Data Collection:</w:t>
      </w:r>
      <w:r>
        <w:t xml:space="preserve"> </w:t>
      </w:r>
      <w:r>
        <w:t xml:space="preserve">For future assessments, aim to collect primary, supplier-specific data for all significant material and process inputs to further refine accuracy and identify more targeted reduction opportunities.</w:t>
      </w:r>
    </w:p>
    <w:p>
      <w:r>
        <w:pict>
          <v:rect style="width:0;height:1.5pt" o:hralign="center" o:hrstd="t" o:hr="t"/>
        </w:pict>
      </w:r>
    </w:p>
    <w:p>
      <w:pPr>
        <w:pStyle w:val="FirstParagraph"/>
      </w:pPr>
      <w:r>
        <w:t xml:space="preserve">Confidential - Internal Use Only | Page 1 of X</w:t>
      </w:r>
    </w:p>
    <w:p>
      <w:pPr>
        <w:pStyle w:val="BodyText"/>
      </w:pPr>
      <w:r>
        <w:t xml:space="preserve">© 2026 sgtuoffhyq. All Rights Reserved.</w:t>
      </w:r>
    </w:p>
    <w:p>
      <w:pPr>
        <w:pStyle w:val="BodyText"/>
      </w:pPr>
      <w:r>
        <w:t xml:space="preserve">https://ghgprotocol.org/sites/default/files/standards_background/GHG_Protocol_LSR_Standard_Guidance_0.pdf</w:t>
      </w:r>
      <w:r>
        <w:t xml:space="preserve"> </w:t>
      </w:r>
      <w:r>
        <w:t xml:space="preserve">https://www.carbonfootprint.com/emission_factors.html</w:t>
      </w:r>
      <w:r>
        <w:t xml:space="preserve"> </w:t>
      </w:r>
      <w:r>
        <w:t xml:space="preserve">https://carbontrust.com/resources/guides/carbon-footprinting-and-reporting/product-carbon-footprinting</w:t>
      </w:r>
      <w:r>
        <w:t xml:space="preserve"> </w:t>
      </w:r>
      <w:r>
        <w:t xml:space="preserve">https://www.epa.gov/smm/greenhouse-gas-emission-factors-landfilling-and-combusting-municipal-solid-waste</w:t>
      </w:r>
      <w:r>
        <w:t xml:space="preserve"> </w:t>
      </w:r>
      <w:r>
        <w:t xml:space="preserve">https://docs.cdn.emissions-api.org/2023-01-01.html</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izivfeykqg</dc:title>
  <dc:creator/>
  <dc:description>Detailed Product Carbon Footprint (PCF) analysis report for izivfeykqg, performed by fnmvejvulh for sgtuoffhyq, adhering to GHG Protocol standards and 2026 LSR updates.</dc:description>
  <dc:language>en</dc:language>
  <cp:keywords/>
  <dcterms:created xsi:type="dcterms:W3CDTF">2026-07-15T01:33:57Z</dcterms:created>
  <dcterms:modified xsi:type="dcterms:W3CDTF">2026-07-15T01:33:57Z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