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iyynkgsvhv</w:t>
      </w:r>
    </w:p>
    <w:p>
      <w:pPr>
        <w:pStyle w:val="FirstParagraph"/>
      </w:pPr>
      <w:r>
        <w:t xml:space="preserve">carboncalcpcf.com</w:t>
      </w:r>
    </w:p>
    <w:bookmarkStart w:id="20" w:name="Xf71528ed9dae821ea6f2268a1e6a00573acfe2f"/>
    <w:p>
      <w:pPr>
        <w:pStyle w:val="Heading1"/>
      </w:pPr>
      <w:r>
        <w:t xml:space="preserve">Product Carbon Footprint Analysis: iyynkgsvhv</w:t>
      </w:r>
    </w:p>
    <w:p>
      <w:pPr>
        <w:pStyle w:val="FirstParagraph"/>
      </w:pPr>
      <w:r>
        <w:rPr>
          <w:bCs/>
          <w:b/>
        </w:rPr>
        <w:t xml:space="preserve">Company Name:</w:t>
      </w:r>
      <w:r>
        <w:t xml:space="preserve"> </w:t>
      </w:r>
      <w:r>
        <w:t xml:space="preserve">jpdiyvoqsg</w:t>
      </w:r>
    </w:p>
    <w:p>
      <w:pPr>
        <w:pStyle w:val="BodyText"/>
      </w:pPr>
      <w:r>
        <w:rPr>
          <w:bCs/>
          <w:b/>
        </w:rPr>
        <w:t xml:space="preserve">Senior Sustainability Consultant:</w:t>
      </w:r>
      <w:r>
        <w:t xml:space="preserve"> </w:t>
      </w:r>
      <w:r>
        <w:t xml:space="preserve">iikxqmzoln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industry standards, and illustrative emission factors for a hypothetical product due to the nature of the request. Specific values may vary with primary data collection and real-world conditions.</w:t>
      </w:r>
    </w:p>
    <w:bookmarkEnd w:id="20"/>
    <w:bookmarkStart w:id="43" w:name="Xc1dac4a7bf9ac0f6a1f336014b151251b69c27e"/>
    <w:p>
      <w:pPr>
        <w:pStyle w:val="Heading1"/>
      </w:pPr>
      <w:r>
        <w:t xml:space="preserve">Product Carbon Footprint Analysis: iyynkgsvhv</w:t>
      </w:r>
    </w:p>
    <w:p>
      <w:pPr>
        <w:pStyle w:val="FirstParagraph"/>
      </w:pPr>
      <w:r>
        <w:rPr>
          <w:bCs/>
          <w:b/>
        </w:rPr>
        <w:t xml:space="preserve">Generated Date:</w:t>
      </w:r>
      <w:r>
        <w:t xml:space="preserve"> </w:t>
      </w:r>
      <w:r>
        <w:t xml:space="preserve">Monday, 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"iyynkgsvhv" manufactured by jpdiyvoqsg. The analysis was conducted by iikxqmzoln, Senior Sustainability Consultant, adhering strictly to the Greenhouse Gas (GHG) Protocol standards, including considerations for the 2026 Land Sector and Removals (LSR) update and stringent Scope 3 compliance requirements. The total carbon footprint for one functional unit of iyynkgsvhv over its lifecycle is calculated to be</w:t>
      </w:r>
      <w:r>
        <w:t xml:space="preserve"> </w:t>
      </w:r>
      <w:r>
        <w:rPr>
          <w:bCs/>
          <w:b/>
        </w:rPr>
        <w:t xml:space="preserve">21.94 kg CO2e</w:t>
      </w:r>
      <w:r>
        <w:t xml:space="preserve">. The primary hotspots identified are the Use Phase, driven by energy consumption over the product\'s lifespan, and upstream material acquisition.</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parameters and boundaries for the Product Carbon Footprint (PCF) analysis of "iyynkgsvhv."</w:t>
      </w:r>
    </w:p>
    <w:p>
      <w:pPr>
        <w:numPr>
          <w:ilvl w:val="0"/>
          <w:numId w:val="1001"/>
        </w:numPr>
        <w:pStyle w:val="Compact"/>
      </w:pPr>
      <w:r>
        <w:rPr>
          <w:bCs/>
          <w:b/>
        </w:rPr>
        <w:t xml:space="preserve">Functional Unit:</w:t>
      </w:r>
      <w:r>
        <w:t xml:space="preserve"> </w:t>
      </w:r>
      <w:r>
        <w:t xml:space="preserve">1.0 unit of iyynkgsvhv.</w:t>
      </w:r>
    </w:p>
    <w:p>
      <w:pPr>
        <w:numPr>
          <w:ilvl w:val="0"/>
          <w:numId w:val="1001"/>
        </w:numPr>
        <w:pStyle w:val="Compact"/>
      </w:pPr>
      <w:r>
        <w:rPr>
          <w:bCs/>
          <w:b/>
        </w:rPr>
        <w:t xml:space="preserve">System Boundary:</w:t>
      </w:r>
      <w:r>
        <w:t xml:space="preserve"> </w:t>
      </w:r>
      <w:r>
        <w:t xml:space="preserve">Cradle-to-grave, with the primary calculation boundary set at \'factory_gate\' for direct manufacturing emissions, but extended to include downstream logistics, use phase, and end-of-life as per report requirements for a comprehensive lifecycle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distribution, use phase, and end-of-life)</w:t>
      </w:r>
    </w:p>
    <w:p>
      <w:pPr>
        <w:numPr>
          <w:ilvl w:val="0"/>
          <w:numId w:val="1001"/>
        </w:numPr>
        <w:pStyle w:val="Compact"/>
      </w:pPr>
      <w:r>
        <w:rPr>
          <w:bCs/>
          <w:b/>
        </w:rPr>
        <w:t xml:space="preserve">Accounting Standard:</w:t>
      </w:r>
      <w:r>
        <w:t xml:space="preserve"> </w:t>
      </w:r>
      <w:r>
        <w:t xml:space="preserve">GHG Protocol, specifically the Product Standard. This includes categorization into Scope 1 (direct emissions), Scope 2 (purchased energy emissions), and Scope 3 (indirect value chain emissions) categories.</w:t>
      </w:r>
    </w:p>
    <w:p>
      <w:pPr>
        <w:numPr>
          <w:ilvl w:val="0"/>
          <w:numId w:val="1001"/>
        </w:numPr>
        <w:pStyle w:val="Compact"/>
      </w:pPr>
      <w:r>
        <w:rPr>
          <w:bCs/>
          <w:b/>
        </w:rPr>
        <w:t xml:space="preserve">Allocation:</w:t>
      </w:r>
      <w:r>
        <w:t xml:space="preserve"> </w:t>
      </w:r>
      <w:r>
        <w:t xml:space="preserve">Mass-based allocation is applied where co-products or by-products are present in generic background data. For recycling, the "cut-off" approach is generally followed as per Ecoinvent methodology, where recycled materials are considered burden-free at the point of recycling for subsequent use.</w:t>
      </w:r>
    </w:p>
    <w:p>
      <w:r>
        <w:pict>
          <v:rect style="width:0;height:1.5pt" o:hralign="center" o:hrstd="t" o:hr="t"/>
        </w:pict>
      </w:r>
    </w:p>
    <w:bookmarkEnd w:id="22"/>
    <w:bookmarkStart w:id="29" w:name="Xe53ce5ff818de4e0425362e3274525332416797"/>
    <w:p>
      <w:pPr>
        <w:pStyle w:val="Heading2"/>
      </w:pPr>
      <w:r>
        <w:t xml:space="preserve">2. &amp; 3. Lifecycle Mapping (LCI Inventory Stages) and Data Collection</w:t>
      </w:r>
    </w:p>
    <w:p>
      <w:pPr>
        <w:pStyle w:val="FirstParagraph"/>
      </w:pPr>
      <w:r>
        <w:t xml:space="preserve">This section details the lifecycle stages considered and the primary and secondary data points collected for the analysis of "iyynkgsvhv." Industry-standard emission factors, representative of Ecoinvent/DEFRA databases, have been utilized for calculations where specific primary data was not available.</w:t>
      </w:r>
    </w:p>
    <w:bookmarkStart w:id="24" w:name="Xbc374b9b819252f363695326adb7c260a28ffa7"/>
    <w:p>
      <w:pPr>
        <w:pStyle w:val="Heading3"/>
      </w:pPr>
      <w:r>
        <w:t xml:space="preserve">Material Acquisition and Pre-processing (Scope 3 - Upstream)</w:t>
      </w:r>
    </w:p>
    <w:p>
      <w:pPr>
        <w:pStyle w:val="FirstParagraph"/>
      </w:pPr>
      <w:r>
        <w:t xml:space="preserve">The Detailed Bill of Materials (BOM) for "iyynkgsvhv" provides pre-calculated \'Total Carbon\' values, which are directly used to represent the emissions from material extraction, processing, and manufacturing up to the point of delivery to the assembly factory. This implicitly includes upstream transport to the factory gate.</w:t>
      </w:r>
    </w:p>
    <w:bookmarkStart w:id="23" w:name="X8de8a92816ebd168a34d6bf1072b8c25665444e"/>
    <w:p>
      <w:pPr>
        <w:pStyle w:val="Heading4"/>
      </w:pPr>
      <w:r>
        <w:t xml:space="preserve">Detailed Bill of Materials (BOM) - rjtjjffk</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Total Material Emissions:</w:t>
            </w:r>
          </w:p>
        </w:tc>
        <w:tc>
          <w:tcPr/>
          <w:p>
            <w:pPr>
              <w:pStyle w:val="Compact"/>
              <w:jc w:val="left"/>
            </w:pPr>
            <w:r>
              <w:rPr>
                <w:bCs/>
                <w:b/>
              </w:rPr>
              <w:t xml:space="preserve">4.05 kg CO2e</w:t>
            </w:r>
          </w:p>
        </w:tc>
      </w:tr>
    </w:tbl>
    <w:bookmarkEnd w:id="23"/>
    <w:bookmarkEnd w:id="24"/>
    <w:bookmarkStart w:id="25" w:name="manufacturing-scope-1-2"/>
    <w:p>
      <w:pPr>
        <w:pStyle w:val="Heading3"/>
      </w:pPr>
      <w:r>
        <w:t xml:space="preserve">Manufacturing (Scope 1 &amp; 2)</w:t>
      </w:r>
    </w:p>
    <w:p>
      <w:pPr>
        <w:pStyle w:val="FirstParagraph"/>
      </w:pPr>
      <w:r>
        <w:t xml:space="preserve">The production of "iyynkgsvhv" takes place in China. Energy consumption and renewable energy usage are critical factors in calculating the manufacturing footprint.</w:t>
      </w:r>
    </w:p>
    <w:p>
      <w:pPr>
        <w:numPr>
          <w:ilvl w:val="0"/>
          <w:numId w:val="1003"/>
        </w:numPr>
        <w:pStyle w:val="Compact"/>
      </w:pPr>
      <w:r>
        <w:rPr>
          <w:bCs/>
          <w:b/>
        </w:rPr>
        <w:t xml:space="preserve">Energy Intensity (kWh/unit):</w:t>
      </w:r>
      <w:r>
        <w:t xml:space="preserve"> </w:t>
      </w:r>
      <w:r>
        <w:t xml:space="preserve">25 kWh/unit</w:t>
      </w:r>
    </w:p>
    <w:p>
      <w:pPr>
        <w:numPr>
          <w:ilvl w:val="0"/>
          <w:numId w:val="1003"/>
        </w:numPr>
        <w:pStyle w:val="Compact"/>
      </w:pPr>
      <w:r>
        <w:rPr>
          <w:bCs/>
          <w:b/>
        </w:rPr>
        <w:t xml:space="preserve">Renewable Energy Usage:</w:t>
      </w:r>
      <w:r>
        <w:t xml:space="preserve"> </w:t>
      </w:r>
      <w:r>
        <w:t xml:space="preserve">75%</w:t>
      </w:r>
    </w:p>
    <w:p>
      <w:pPr>
        <w:numPr>
          <w:ilvl w:val="0"/>
          <w:numId w:val="1003"/>
        </w:numPr>
        <w:pStyle w:val="Compact"/>
      </w:pPr>
      <w:r>
        <w:rPr>
          <w:bCs/>
          <w:b/>
        </w:rPr>
        <w:t xml:space="preserve">Assumed Grid Electricity Emission Factor (China):</w:t>
      </w:r>
      <w:r>
        <w:t xml:space="preserve"> </w:t>
      </w:r>
      <w:r>
        <w:t xml:space="preserve">0.65 kg CO2e/kWh (representative of China\'s electricity mix from sources like Ecoinvent).</w:t>
      </w:r>
    </w:p>
    <w:p>
      <w:pPr>
        <w:numPr>
          <w:ilvl w:val="0"/>
          <w:numId w:val="1003"/>
        </w:numPr>
        <w:pStyle w:val="Compact"/>
      </w:pPr>
      <w:r>
        <w:rPr>
          <w:bCs/>
          <w:b/>
        </w:rPr>
        <w:t xml:space="preserve">Scope 1 Emissions:</w:t>
      </w:r>
      <w:r>
        <w:t xml:space="preserve"> </w:t>
      </w:r>
      <w:r>
        <w:t xml:space="preserve">Assumed to be negligible for this product\'s manufacturing stage, as detailed fuel consumption for on-site operations was not provided.</w:t>
      </w:r>
    </w:p>
    <w:bookmarkEnd w:id="25"/>
    <w:bookmarkStart w:id="26" w:name="X74a14b84e89cfa07bd898f22b0e5d2c89a746fc"/>
    <w:p>
      <w:pPr>
        <w:pStyle w:val="Heading3"/>
      </w:pPr>
      <w:r>
        <w:t xml:space="preserve">Transport and Distribution (Scope 3 - Downstream)</w:t>
      </w:r>
    </w:p>
    <w:p>
      <w:pPr>
        <w:pStyle w:val="FirstParagraph"/>
      </w:pPr>
      <w:r>
        <w:t xml:space="preserve">Logistics for "iyynkgsvhv" involve international shipping from China to Europe, followed by regional distribution and last-mile delivery.</w:t>
      </w:r>
    </w:p>
    <w:p>
      <w:pPr>
        <w:numPr>
          <w:ilvl w:val="0"/>
          <w:numId w:val="1004"/>
        </w:numPr>
        <w:pStyle w:val="Compact"/>
      </w:pPr>
      <w:r>
        <w:rPr>
          <w:bCs/>
          <w:b/>
        </w:rPr>
        <w:t xml:space="preserve">Transport Mode (Primary):</w:t>
      </w:r>
      <w:r>
        <w:t xml:space="preserve"> </w:t>
      </w:r>
      <w:r>
        <w:t xml:space="preserve">Ocean Freight (China to Europe) then Truck (Europe Distribution)</w:t>
      </w:r>
    </w:p>
    <w:p>
      <w:pPr>
        <w:numPr>
          <w:ilvl w:val="0"/>
          <w:numId w:val="1004"/>
        </w:numPr>
        <w:pStyle w:val="Compact"/>
      </w:pPr>
      <w:r>
        <w:rPr>
          <w:bCs/>
          <w:b/>
        </w:rPr>
        <w:t xml:space="preserve">Transport Distance (Primary):</w:t>
      </w:r>
      <w:r>
        <w:t xml:space="preserve"> </w:t>
      </w:r>
      <w:r>
        <w:t xml:space="preserve">15000 km (Ocean) + 1000 km (Truck)</w:t>
      </w:r>
    </w:p>
    <w:p>
      <w:pPr>
        <w:numPr>
          <w:ilvl w:val="0"/>
          <w:numId w:val="1004"/>
        </w:numPr>
        <w:pStyle w:val="Compact"/>
      </w:pPr>
      <w:r>
        <w:rPr>
          <w:bCs/>
          <w:b/>
        </w:rPr>
        <w:t xml:space="preserve">Last-Mile Delivery Channel:</w:t>
      </w:r>
      <w:r>
        <w:t xml:space="preserve"> </w:t>
      </w:r>
      <w:r>
        <w:t xml:space="preserve">Parcel Van Delivery</w:t>
      </w:r>
    </w:p>
    <w:p>
      <w:pPr>
        <w:numPr>
          <w:ilvl w:val="0"/>
          <w:numId w:val="1004"/>
        </w:numPr>
        <w:pStyle w:val="Compact"/>
      </w:pPr>
      <w:r>
        <w:rPr>
          <w:bCs/>
          <w:b/>
        </w:rPr>
        <w:t xml:space="preserve">Assumed Product Weight for Transport:</w:t>
      </w:r>
      <w:r>
        <w:t xml:space="preserve"> </w:t>
      </w:r>
      <w:r>
        <w:t xml:space="preserve">1.0 kg</w:t>
      </w:r>
    </w:p>
    <w:p>
      <w:pPr>
        <w:numPr>
          <w:ilvl w:val="0"/>
          <w:numId w:val="1004"/>
        </w:numPr>
        <w:pStyle w:val="Compact"/>
      </w:pPr>
      <w:r>
        <w:rPr>
          <w:bCs/>
          <w:b/>
        </w:rPr>
        <w:t xml:space="preserve">Assumed Emission Factors (representative of Ecoinvent):</w:t>
      </w:r>
    </w:p>
    <w:p>
      <w:pPr>
        <w:numPr>
          <w:ilvl w:val="1"/>
          <w:numId w:val="1005"/>
        </w:numPr>
        <w:pStyle w:val="Compact"/>
      </w:pPr>
      <w:r>
        <w:t xml:space="preserve">Ocean Freight (Container Ship): 0.01 kg CO2e/tonne-km</w:t>
      </w:r>
    </w:p>
    <w:p>
      <w:pPr>
        <w:numPr>
          <w:ilvl w:val="1"/>
          <w:numId w:val="1005"/>
        </w:numPr>
        <w:pStyle w:val="Compact"/>
      </w:pPr>
      <w:r>
        <w:t xml:space="preserve">Heavy Goods Vehicle (Truck, Europe): 0.08 kg CO2e/tonne-km</w:t>
      </w:r>
    </w:p>
    <w:p>
      <w:pPr>
        <w:numPr>
          <w:ilvl w:val="1"/>
          <w:numId w:val="1005"/>
        </w:numPr>
        <w:pStyle w:val="Compact"/>
      </w:pPr>
      <w:r>
        <w:t xml:space="preserve">Light Commercial Vehicle (Parcel Van, Europe, assumed 50 km last-mile): 0.2 kg CO2e/tonne-km (estimated for smaller vehicles and shorter distances)</w:t>
      </w:r>
    </w:p>
    <w:bookmarkEnd w:id="26"/>
    <w:bookmarkStart w:id="27" w:name="use-phase-scope-3---downstream"/>
    <w:p>
      <w:pPr>
        <w:pStyle w:val="Heading3"/>
      </w:pPr>
      <w:r>
        <w:t xml:space="preserve">Use Phase (Scope 3 - Downstream)</w:t>
      </w:r>
    </w:p>
    <w:p>
      <w:pPr>
        <w:pStyle w:val="FirstParagraph"/>
      </w:pPr>
      <w:r>
        <w:t xml:space="preserve">The emissions during the product\'s use are calculated based on its lifespan and energy consumption.</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bCs/>
          <w:b/>
        </w:rPr>
        <w:t xml:space="preserve">Assumed Grid Electricity Emission Factor (Europe):</w:t>
      </w:r>
      <w:r>
        <w:t xml:space="preserve"> </w:t>
      </w:r>
      <w:r>
        <w:t xml:space="preserve">0.3 kg CO2e/kWh (representative of Europe\'s electricity mix from sources like Ecoinvent).</w:t>
      </w:r>
    </w:p>
    <w:bookmarkEnd w:id="27"/>
    <w:bookmarkStart w:id="28" w:name="X2449e76f36fce2c9fec3c701a472f020b80894d"/>
    <w:p>
      <w:pPr>
        <w:pStyle w:val="Heading3"/>
      </w:pPr>
      <w:r>
        <w:t xml:space="preserve">End-of-Life (EoL) Scenarios (Scope 3 - Downstream)</w:t>
      </w:r>
    </w:p>
    <w:p>
      <w:pPr>
        <w:pStyle w:val="FirstParagraph"/>
      </w:pPr>
      <w:r>
        <w:t xml:space="preserve">The end-of-life impacts reflect the recyclability and availability of circular programs.</w:t>
      </w:r>
    </w:p>
    <w:p>
      <w:pPr>
        <w:numPr>
          <w:ilvl w:val="0"/>
          <w:numId w:val="1007"/>
        </w:numPr>
        <w:pStyle w:val="Compact"/>
      </w:pPr>
      <w:r>
        <w:rPr>
          <w:bCs/>
          <w:b/>
        </w:rPr>
        <w:t xml:space="preserve">Recyclability Percentage:</w:t>
      </w:r>
      <w:r>
        <w:t xml:space="preserve"> </w:t>
      </w:r>
      <w:r>
        <w:t xml:space="preserve">80%</w:t>
      </w:r>
    </w:p>
    <w:p>
      <w:pPr>
        <w:numPr>
          <w:ilvl w:val="0"/>
          <w:numId w:val="1007"/>
        </w:numPr>
        <w:pStyle w:val="Compact"/>
      </w:pPr>
      <w:r>
        <w:rPr>
          <w:bCs/>
          <w:b/>
        </w:rPr>
        <w:t xml:space="preserve">Circular/Take-back Programs:</w:t>
      </w:r>
      <w:r>
        <w:t xml:space="preserve"> </w:t>
      </w:r>
      <w:r>
        <w:t xml:space="preserve">Voluntary product take-back program for key components.</w:t>
      </w:r>
    </w:p>
    <w:p>
      <w:pPr>
        <w:numPr>
          <w:ilvl w:val="0"/>
          <w:numId w:val="1007"/>
        </w:numPr>
        <w:pStyle w:val="Compact"/>
      </w:pPr>
      <w:r>
        <w:rPr>
          <w:bCs/>
          <w:b/>
        </w:rPr>
        <w:t xml:space="preserve">Assumed Product Weight for EoL:</w:t>
      </w:r>
      <w:r>
        <w:t xml:space="preserve"> </w:t>
      </w:r>
      <w:r>
        <w:t xml:space="preserve">1.0 kg</w:t>
      </w:r>
    </w:p>
    <w:p>
      <w:pPr>
        <w:numPr>
          <w:ilvl w:val="0"/>
          <w:numId w:val="1007"/>
        </w:numPr>
        <w:pStyle w:val="Compact"/>
      </w:pPr>
      <w:r>
        <w:rPr>
          <w:bCs/>
          <w:b/>
        </w:rPr>
        <w:t xml:space="preserve">Assumed Emission Factors (representative of Ecoinvent):</w:t>
      </w:r>
    </w:p>
    <w:p>
      <w:pPr>
        <w:numPr>
          <w:ilvl w:val="1"/>
          <w:numId w:val="1008"/>
        </w:numPr>
        <w:pStyle w:val="Compact"/>
      </w:pPr>
      <w:r>
        <w:t xml:space="preserve">Landfill (mixed waste): 0.5 kg CO2e/kg</w:t>
      </w:r>
    </w:p>
    <w:p>
      <w:pPr>
        <w:numPr>
          <w:ilvl w:val="1"/>
          <w:numId w:val="1008"/>
        </w:numPr>
        <w:pStyle w:val="Compact"/>
      </w:pPr>
      <w:r>
        <w:t xml:space="preserve">Avoided Emissions from Recycling (mixed materials, credit): -1.5 kg CO2e/kg (This represents the environmental benefit of displacing virgin material production, following a cut-off approach as often used in Ecoinvent).</w:t>
      </w:r>
    </w:p>
    <w:p>
      <w:r>
        <w:pict>
          <v:rect style="width:0;height:1.5pt" o:hralign="center" o:hrstd="t" o:hr="t"/>
        </w:pict>
      </w:r>
    </w:p>
    <w:bookmarkEnd w:id="28"/>
    <w:bookmarkEnd w:id="29"/>
    <w:bookmarkStart w:id="37" w:name="emission-calculation"/>
    <w:p>
      <w:pPr>
        <w:pStyle w:val="Heading2"/>
      </w:pPr>
      <w:r>
        <w:t xml:space="preserve">4. Emission Calculation</w:t>
      </w:r>
    </w:p>
    <w:p>
      <w:pPr>
        <w:pStyle w:val="FirstParagraph"/>
      </w:pPr>
      <w:r>
        <w:t xml:space="preserve">Emissions are calculated for each lifecycle stage (Activity * Emission Factor = CO2e) and categorized according to the GHG Protocol scopes.</w:t>
      </w:r>
    </w:p>
    <w:bookmarkStart w:id="35" w:name="ghg-protocol-scope-breakdown"/>
    <w:p>
      <w:pPr>
        <w:pStyle w:val="Heading3"/>
      </w:pPr>
      <w:r>
        <w:t xml:space="preserve">GHG Protocol Scope Breakdown</w:t>
      </w:r>
    </w:p>
    <w:p>
      <w:pPr>
        <w:pStyle w:val="FirstParagraph"/>
      </w:pPr>
      <w:r>
        <w:t xml:space="preserve">This analysis adheres to the GHG Protocol\'s classification for Scope 1, Scope 2, and Scope 3 emissions. The 2026 Land Sector and Removals (LSR) Standard, effective January 1, 2027, provides specific guidance for land-based emissions and removals. While "iyynkgsvhv" is not explicitly a land-intensive product, any future identification of bio-based materials or land-use related processes in its value chain would necessitate a detailed application of the LSR Standard. The GHG Protocol is also strengthening Scope 3 reporting, proposing a 95% completeness rule for required Scope 3 emissions, with limited exclusions. This analysis is designed to meet or exceed this coverage by accounting for all significant value chain activities.</w:t>
      </w:r>
    </w:p>
    <w:bookmarkStart w:id="30" w:name="scope-1-emissions-direct-emissions"/>
    <w:p>
      <w:pPr>
        <w:pStyle w:val="Heading4"/>
      </w:pPr>
      <w:r>
        <w:t xml:space="preserve">Scope 1 Emissions (Direct Emissions)</w:t>
      </w:r>
    </w:p>
    <w:p>
      <w:pPr>
        <w:pStyle w:val="FirstParagraph"/>
      </w:pPr>
      <w:r>
        <w:t xml:space="preserve">For the \'factory_gate\' boundary and given the available data, direct on-site fossil fuel combustion or process emissions for the production of "iyynkgsvhv" are assumed to be negligible or covered within the upstream material impacts.</w:t>
      </w:r>
    </w:p>
    <w:p>
      <w:pPr>
        <w:pStyle w:val="BodyText"/>
      </w:pPr>
      <w:r>
        <w:rPr>
          <w:bCs/>
          <w:b/>
        </w:rPr>
        <w:t xml:space="preserve">Total Scope 1 Emissions: 0.00 kg CO2e</w:t>
      </w:r>
    </w:p>
    <w:bookmarkEnd w:id="30"/>
    <w:bookmarkStart w:id="31" w:name="scope-2-emissions-purchased-energy"/>
    <w:p>
      <w:pPr>
        <w:pStyle w:val="Heading4"/>
      </w:pPr>
      <w:r>
        <w:t xml:space="preserve">Scope 2 Emissions (Purchased Energy)</w:t>
      </w:r>
    </w:p>
    <w:p>
      <w:pPr>
        <w:pStyle w:val="FirstParagraph"/>
      </w:pPr>
      <w:r>
        <w:t xml:space="preserve">These emissions arise from the generation of purchased electricity for the manufacturing process in China.</w:t>
      </w:r>
    </w:p>
    <w:p>
      <w:pPr>
        <w:numPr>
          <w:ilvl w:val="0"/>
          <w:numId w:val="1009"/>
        </w:numPr>
        <w:pStyle w:val="Compact"/>
      </w:pPr>
      <w:r>
        <w:t xml:space="preserve">Non-renewable electricity used = 25 kWh/unit * (1 - 0.75) = 6.25 kWh/unit</w:t>
      </w:r>
    </w:p>
    <w:p>
      <w:pPr>
        <w:numPr>
          <w:ilvl w:val="0"/>
          <w:numId w:val="1009"/>
        </w:numPr>
        <w:pStyle w:val="Compact"/>
      </w:pPr>
      <w:r>
        <w:t xml:space="preserve">Scope 2 Emissions = 6.25 kWh/unit * 0.65 kg CO2e/kWh =</w:t>
      </w:r>
      <w:r>
        <w:t xml:space="preserve"> </w:t>
      </w:r>
      <w:r>
        <w:rPr>
          <w:bCs/>
          <w:b/>
        </w:rPr>
        <w:t xml:space="preserve">4.06 kg CO2e</w:t>
      </w:r>
    </w:p>
    <w:p>
      <w:pPr>
        <w:pStyle w:val="FirstParagraph"/>
      </w:pPr>
      <w:r>
        <w:rPr>
          <w:bCs/>
          <w:b/>
        </w:rPr>
        <w:t xml:space="preserve">Total Scope 2 Emissions: 4.06 kg CO2e</w:t>
      </w:r>
    </w:p>
    <w:bookmarkEnd w:id="31"/>
    <w:bookmarkStart w:id="34" w:name="scope-3-emissions-value-chain-emissions"/>
    <w:p>
      <w:pPr>
        <w:pStyle w:val="Heading4"/>
      </w:pPr>
      <w:r>
        <w:t xml:space="preserve">Scope 3 Emissions (Value Chain Emissions)</w:t>
      </w:r>
    </w:p>
    <w:p>
      <w:pPr>
        <w:pStyle w:val="FirstParagraph"/>
      </w:pPr>
      <w:r>
        <w:t xml:space="preserve">Scope 3 emissions encompass all other indirect emissions from the value chain, both upstream and downstream. This category represents the majority of the product\'s footprint and is a key focus of the 2026 GHG Protocol updates for enhanced coverage and transparency.</w:t>
      </w:r>
    </w:p>
    <w:bookmarkStart w:id="32" w:name="upstream-scope-3-emissions"/>
    <w:p>
      <w:pPr>
        <w:pStyle w:val="Heading5"/>
      </w:pPr>
      <w:r>
        <w:t xml:space="preserve">Upstream Scope 3 Emissions</w:t>
      </w:r>
    </w:p>
    <w:p>
      <w:pPr>
        <w:numPr>
          <w:ilvl w:val="0"/>
          <w:numId w:val="1010"/>
        </w:numPr>
        <w:pStyle w:val="Compact"/>
      </w:pPr>
      <w:r>
        <w:rPr>
          <w:bCs/>
          <w:b/>
        </w:rPr>
        <w:t xml:space="preserve">Material Acquisition &amp; Pre-processing:</w:t>
      </w:r>
      <w:r>
        <w:t xml:space="preserve"> </w:t>
      </w:r>
      <w:r>
        <w:t xml:space="preserve">Sum of \'Total Carbon\' from BOM =</w:t>
      </w:r>
      <w:r>
        <w:t xml:space="preserve"> </w:t>
      </w:r>
      <w:r>
        <w:rPr>
          <w:bCs/>
          <w:b/>
        </w:rPr>
        <w:t xml:space="preserve">4.05 kg CO2e</w:t>
      </w:r>
    </w:p>
    <w:bookmarkEnd w:id="32"/>
    <w:bookmarkStart w:id="33" w:name="downstream-scope-3-emissions"/>
    <w:p>
      <w:pPr>
        <w:pStyle w:val="Heading5"/>
      </w:pPr>
      <w:r>
        <w:t xml:space="preserve">Downstream Scope 3 Emissions</w:t>
      </w:r>
    </w:p>
    <w:p>
      <w:pPr>
        <w:numPr>
          <w:ilvl w:val="0"/>
          <w:numId w:val="1011"/>
        </w:numPr>
        <w:pStyle w:val="Compact"/>
      </w:pPr>
      <w:r>
        <w:rPr>
          <w:bCs/>
          <w:b/>
        </w:rPr>
        <w:t xml:space="preserve">Transport &amp; Distribution:</w:t>
      </w:r>
    </w:p>
    <w:p>
      <w:pPr>
        <w:numPr>
          <w:ilvl w:val="1"/>
          <w:numId w:val="1012"/>
        </w:numPr>
        <w:pStyle w:val="Compact"/>
      </w:pPr>
      <w:r>
        <w:t xml:space="preserve">Ocean Freight: 15000 km * 0.001 tonne * 0.01 kg CO2e/tonne-km = 0.15 kg CO2e</w:t>
      </w:r>
    </w:p>
    <w:p>
      <w:pPr>
        <w:numPr>
          <w:ilvl w:val="1"/>
          <w:numId w:val="1012"/>
        </w:numPr>
        <w:pStyle w:val="Compact"/>
      </w:pPr>
      <w:r>
        <w:t xml:space="preserve">Truck (Europe): 1000 km * 0.001 tonne * 0.08 kg CO2e/tonne-km = 0.08 kg CO2e</w:t>
      </w:r>
    </w:p>
    <w:p>
      <w:pPr>
        <w:numPr>
          <w:ilvl w:val="1"/>
          <w:numId w:val="1012"/>
        </w:numPr>
        <w:pStyle w:val="Compact"/>
      </w:pPr>
      <w:r>
        <w:t xml:space="preserve">Last-Mile Delivery (Parcel Van): 50 km * 0.001 tonne * 0.2 kg CO2e/tonne-km = 0.01 kg CO2e</w:t>
      </w:r>
    </w:p>
    <w:p>
      <w:pPr>
        <w:numPr>
          <w:ilvl w:val="1"/>
          <w:numId w:val="1012"/>
        </w:numPr>
        <w:pStyle w:val="Compact"/>
      </w:pPr>
      <w:r>
        <w:t xml:space="preserve">Total Transport Emissions = 0.15 + 0.08 + 0.01 =</w:t>
      </w:r>
      <w:r>
        <w:t xml:space="preserve"> </w:t>
      </w:r>
      <w:r>
        <w:rPr>
          <w:bCs/>
          <w:b/>
        </w:rPr>
        <w:t xml:space="preserve">0.24 kg CO2e</w:t>
      </w:r>
    </w:p>
    <w:p>
      <w:pPr>
        <w:numPr>
          <w:ilvl w:val="0"/>
          <w:numId w:val="1011"/>
        </w:numPr>
        <w:pStyle w:val="Compact"/>
      </w:pPr>
      <w:r>
        <w:rPr>
          <w:bCs/>
          <w:b/>
        </w:rPr>
        <w:t xml:space="preserve">Use Phase:</w:t>
      </w:r>
    </w:p>
    <w:p>
      <w:pPr>
        <w:numPr>
          <w:ilvl w:val="1"/>
          <w:numId w:val="1013"/>
        </w:numPr>
        <w:pStyle w:val="Compact"/>
      </w:pPr>
      <w:r>
        <w:t xml:space="preserve">Total Energy Consumption = 5 years * 10 kWh/year = 50 kWh</w:t>
      </w:r>
    </w:p>
    <w:p>
      <w:pPr>
        <w:numPr>
          <w:ilvl w:val="1"/>
          <w:numId w:val="1013"/>
        </w:numPr>
        <w:pStyle w:val="Compact"/>
      </w:pPr>
      <w:r>
        <w:t xml:space="preserve">Use Phase Emissions = 50 kWh * 0.3 kg CO2e/kWh =</w:t>
      </w:r>
      <w:r>
        <w:t xml:space="preserve"> </w:t>
      </w:r>
      <w:r>
        <w:rPr>
          <w:bCs/>
          <w:b/>
        </w:rPr>
        <w:t xml:space="preserve">15.00 kg CO2e</w:t>
      </w:r>
    </w:p>
    <w:p>
      <w:pPr>
        <w:numPr>
          <w:ilvl w:val="0"/>
          <w:numId w:val="1011"/>
        </w:numPr>
        <w:pStyle w:val="Compact"/>
      </w:pPr>
      <w:r>
        <w:rPr>
          <w:bCs/>
          <w:b/>
        </w:rPr>
        <w:t xml:space="preserve">End-of-Life (EoL):</w:t>
      </w:r>
    </w:p>
    <w:p>
      <w:pPr>
        <w:numPr>
          <w:ilvl w:val="1"/>
          <w:numId w:val="1014"/>
        </w:numPr>
        <w:pStyle w:val="Compact"/>
      </w:pPr>
      <w:r>
        <w:t xml:space="preserve">Disposed (Landfilled) = 1.0 kg * (1 - 0.80) = 0.2 kg</w:t>
      </w:r>
    </w:p>
    <w:p>
      <w:pPr>
        <w:numPr>
          <w:ilvl w:val="1"/>
          <w:numId w:val="1014"/>
        </w:numPr>
        <w:pStyle w:val="Compact"/>
      </w:pPr>
      <w:r>
        <w:t xml:space="preserve">Emissions from Disposal = 0.2 kg * 0.5 kg CO2e/kg = 0.10 kg CO2e</w:t>
      </w:r>
    </w:p>
    <w:p>
      <w:pPr>
        <w:numPr>
          <w:ilvl w:val="1"/>
          <w:numId w:val="1014"/>
        </w:numPr>
        <w:pStyle w:val="Compact"/>
      </w:pPr>
      <w:r>
        <w:t xml:space="preserve">Recycled = 1.0 kg * 0.80 = 0.8 kg</w:t>
      </w:r>
    </w:p>
    <w:p>
      <w:pPr>
        <w:numPr>
          <w:ilvl w:val="1"/>
          <w:numId w:val="1014"/>
        </w:numPr>
        <w:pStyle w:val="Compact"/>
      </w:pPr>
      <w:r>
        <w:t xml:space="preserve">Avoided Emissions from Recycling = 0.8 kg * (-1.5 kg CO2e/kg) = -1.20 kg CO2e (credit)</w:t>
      </w:r>
    </w:p>
    <w:p>
      <w:pPr>
        <w:numPr>
          <w:ilvl w:val="1"/>
          <w:numId w:val="1014"/>
        </w:numPr>
        <w:pStyle w:val="Compact"/>
      </w:pPr>
      <w:r>
        <w:t xml:space="preserve">Net EoL Emissions = 0.10 - 1.20 =</w:t>
      </w:r>
      <w:r>
        <w:t xml:space="preserve"> </w:t>
      </w:r>
      <w:r>
        <w:rPr>
          <w:bCs/>
          <w:b/>
        </w:rPr>
        <w:t xml:space="preserve">-1.10 kg CO2e</w:t>
      </w:r>
    </w:p>
    <w:p>
      <w:pPr>
        <w:pStyle w:val="FirstParagraph"/>
      </w:pPr>
      <w:r>
        <w:rPr>
          <w:bCs/>
          <w:b/>
        </w:rPr>
        <w:t xml:space="preserve">Total Scope 3 Emissions:</w:t>
      </w:r>
      <w:r>
        <w:t xml:space="preserve"> </w:t>
      </w:r>
      <w:r>
        <w:t xml:space="preserve">4.05 (Materials) + 0.24 (Transport) + 15.00 (Use Phase) - 1.10 (EoL) =</w:t>
      </w:r>
      <w:r>
        <w:t xml:space="preserve"> </w:t>
      </w:r>
      <w:r>
        <w:rPr>
          <w:bCs/>
          <w:b/>
        </w:rPr>
        <w:t xml:space="preserve">18.19 kg CO2e</w:t>
      </w:r>
    </w:p>
    <w:bookmarkEnd w:id="33"/>
    <w:bookmarkEnd w:id="34"/>
    <w:bookmarkEnd w:id="35"/>
    <w:bookmarkStart w:id="36" w:name="summary-of-carbon-footprint-by-ghg-scope"/>
    <w:p>
      <w:pPr>
        <w:pStyle w:val="Heading3"/>
      </w:pPr>
      <w:r>
        <w:t xml:space="preserve">Summary of Carbon Footprint by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4.06</w:t>
            </w:r>
          </w:p>
        </w:tc>
        <w:tc>
          <w:tcPr/>
          <w:p>
            <w:pPr>
              <w:pStyle w:val="Compact"/>
              <w:jc w:val="left"/>
            </w:pPr>
            <w:r>
              <w:t xml:space="preserve">18.50%</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4.05</w:t>
            </w:r>
          </w:p>
        </w:tc>
        <w:tc>
          <w:tcPr/>
          <w:p>
            <w:pPr>
              <w:pStyle w:val="Compact"/>
              <w:jc w:val="left"/>
            </w:pPr>
            <w:r>
              <w:t xml:space="preserve">18.46%</w:t>
            </w:r>
          </w:p>
        </w:tc>
      </w:tr>
      <w:tr>
        <w:tc>
          <w:tcPr>
            <w:gridSpan w:val="1"/>
            <w:vMerge w:val="continue"/>
          </w:tcPr>
          <w:p>
            <w:pPr/>
          </w:p>
        </w:tc>
        <w:tc>
          <w:tcPr/>
          <w:p>
            <w:pPr>
              <w:pStyle w:val="Compact"/>
              <w:jc w:val="left"/>
            </w:pPr>
            <w:r>
              <w:t xml:space="preserve">Downstream Transport &amp; Distribution</w:t>
            </w:r>
          </w:p>
        </w:tc>
        <w:tc>
          <w:tcPr/>
          <w:p>
            <w:pPr>
              <w:pStyle w:val="Compact"/>
              <w:jc w:val="left"/>
            </w:pPr>
            <w:r>
              <w:t xml:space="preserve">0.24</w:t>
            </w:r>
          </w:p>
        </w:tc>
        <w:tc>
          <w:tcPr/>
          <w:p>
            <w:pPr>
              <w:pStyle w:val="Compact"/>
              <w:jc w:val="left"/>
            </w:pPr>
            <w:r>
              <w:t xml:space="preserve">1.09%</w:t>
            </w:r>
          </w:p>
        </w:tc>
      </w:tr>
      <w:tr>
        <w:tc>
          <w:tcPr>
            <w:gridSpan w:val="1"/>
            <w:vMerge w:val="continue"/>
          </w:tcPr>
          <w:p>
            <w:pPr/>
          </w:p>
        </w:tc>
        <w:tc>
          <w:tcPr/>
          <w:p>
            <w:pPr>
              <w:pStyle w:val="Compact"/>
              <w:jc w:val="left"/>
            </w:pPr>
            <w:r>
              <w:t xml:space="preserve">Downstream Use Phase</w:t>
            </w:r>
          </w:p>
        </w:tc>
        <w:tc>
          <w:tcPr/>
          <w:p>
            <w:pPr>
              <w:pStyle w:val="Compact"/>
              <w:jc w:val="left"/>
            </w:pPr>
            <w:r>
              <w:t xml:space="preserve">15.00</w:t>
            </w:r>
          </w:p>
        </w:tc>
        <w:tc>
          <w:tcPr/>
          <w:p>
            <w:pPr>
              <w:pStyle w:val="Compact"/>
              <w:jc w:val="left"/>
            </w:pPr>
            <w:r>
              <w:t xml:space="preserve">68.37%</w:t>
            </w:r>
          </w:p>
        </w:tc>
      </w:tr>
      <w:tr>
        <w:tc>
          <w:tcPr>
            <w:gridSpan w:val="1"/>
            <w:vMerge w:val="continue"/>
          </w:tcPr>
          <w:p>
            <w:pPr/>
          </w:p>
        </w:tc>
        <w:tc>
          <w:tcPr/>
          <w:p>
            <w:pPr>
              <w:pStyle w:val="Compact"/>
              <w:jc w:val="left"/>
            </w:pPr>
            <w:r>
              <w:t xml:space="preserve">Downstream End-of-Life</w:t>
            </w:r>
          </w:p>
        </w:tc>
        <w:tc>
          <w:tcPr/>
          <w:p>
            <w:pPr>
              <w:pStyle w:val="Compact"/>
              <w:jc w:val="left"/>
            </w:pPr>
            <w:r>
              <w:t xml:space="preserve">-1.10</w:t>
            </w:r>
          </w:p>
        </w:tc>
        <w:tc>
          <w:tcPr/>
          <w:p>
            <w:pPr>
              <w:pStyle w:val="Compact"/>
              <w:jc w:val="left"/>
            </w:pPr>
            <w:r>
              <w:t xml:space="preserve">-5.01%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21.94 kg CO2e</w:t>
            </w:r>
          </w:p>
        </w:tc>
        <w:tc>
          <w:tcPr/>
          <w:p>
            <w:pPr>
              <w:pStyle w:val="Compact"/>
              <w:jc w:val="left"/>
            </w:pPr>
            <w:r>
              <w:rPr>
                <w:bCs/>
                <w:b/>
              </w:rPr>
              <w:t xml:space="preserve">100.00%</w:t>
            </w:r>
          </w:p>
        </w:tc>
      </w:tr>
    </w:tbl>
    <w:p>
      <w:r>
        <w:pict>
          <v:rect style="width:0;height:1.5pt" o:hralign="center" o:hrstd="t" o:hr="t"/>
        </w:pict>
      </w:r>
    </w:p>
    <w:bookmarkEnd w:id="36"/>
    <w:bookmarkEnd w:id="37"/>
    <w:bookmarkStart w:id="42" w:name="review-report"/>
    <w:p>
      <w:pPr>
        <w:pStyle w:val="Heading2"/>
      </w:pPr>
      <w:r>
        <w:t xml:space="preserve">5. Review &amp; Report</w:t>
      </w:r>
    </w:p>
    <w:bookmarkStart w:id="38" w:name="hotspots-analysis"/>
    <w:p>
      <w:pPr>
        <w:pStyle w:val="Heading3"/>
      </w:pPr>
      <w:r>
        <w:t xml:space="preserve">Hotspots Analysis</w:t>
      </w:r>
    </w:p>
    <w:p>
      <w:pPr>
        <w:pStyle w:val="FirstParagraph"/>
      </w:pPr>
      <w:r>
        <w:t xml:space="preserve">The PCF analysis reveals the following major hotspots for "iyynkgsvhv":</w:t>
      </w:r>
    </w:p>
    <w:p>
      <w:pPr>
        <w:numPr>
          <w:ilvl w:val="0"/>
          <w:numId w:val="1015"/>
        </w:numPr>
        <w:pStyle w:val="Compact"/>
      </w:pPr>
      <w:r>
        <w:rPr>
          <w:bCs/>
          <w:b/>
        </w:rPr>
        <w:t xml:space="preserve">Use Phase (68.37%):</w:t>
      </w:r>
      <w:r>
        <w:t xml:space="preserve"> </w:t>
      </w:r>
      <w:r>
        <w:t xml:space="preserve">This is the most significant contributor to the product\'s carbon footprint. The energy consumption over its 5-year lifespan in the European context dominates the overall impact.</w:t>
      </w:r>
    </w:p>
    <w:p>
      <w:pPr>
        <w:numPr>
          <w:ilvl w:val="0"/>
          <w:numId w:val="1015"/>
        </w:numPr>
        <w:pStyle w:val="Compact"/>
      </w:pPr>
      <w:r>
        <w:rPr>
          <w:bCs/>
          <w:b/>
        </w:rPr>
        <w:t xml:space="preserve">Production (Scope 2, 18.50%):</w:t>
      </w:r>
      <w:r>
        <w:t xml:space="preserve"> </w:t>
      </w:r>
      <w:r>
        <w:t xml:space="preserve">Purchased electricity for manufacturing in China, despite 75% renewable energy usage, still contributes substantially due to the remaining grid mix and energy intensity.</w:t>
      </w:r>
    </w:p>
    <w:p>
      <w:pPr>
        <w:numPr>
          <w:ilvl w:val="0"/>
          <w:numId w:val="1015"/>
        </w:numPr>
        <w:pStyle w:val="Compact"/>
      </w:pPr>
      <w:r>
        <w:rPr>
          <w:bCs/>
          <w:b/>
        </w:rPr>
        <w:t xml:space="preserve">Upstream Materials (Scope 3, 18.46%):</w:t>
      </w:r>
      <w:r>
        <w:t xml:space="preserve"> </w:t>
      </w:r>
      <w:r>
        <w:t xml:space="preserve">The raw material extraction and processing, particularly for the Circuit Board and Steel Frame, represent a considerable portion of the footprint.</w:t>
      </w:r>
    </w:p>
    <w:bookmarkEnd w:id="38"/>
    <w:bookmarkStart w:id="39" w:name="reliability-and-future-enhancements"/>
    <w:p>
      <w:pPr>
        <w:pStyle w:val="Heading3"/>
      </w:pPr>
      <w:r>
        <w:t xml:space="preserve">Reliability and Future Enhancements</w:t>
      </w:r>
    </w:p>
    <w:p>
      <w:pPr>
        <w:pStyle w:val="FirstParagraph"/>
      </w:pPr>
      <w:r>
        <w:t xml:space="preserve">The reliability of this PCF analysis is based on:</w:t>
      </w:r>
    </w:p>
    <w:p>
      <w:pPr>
        <w:numPr>
          <w:ilvl w:val="0"/>
          <w:numId w:val="1016"/>
        </w:numPr>
        <w:pStyle w:val="Compact"/>
      </w:pPr>
      <w:r>
        <w:rPr>
          <w:bCs/>
          <w:b/>
        </w:rPr>
        <w:t xml:space="preserve">Adherence to GHG Protocol:</w:t>
      </w:r>
      <w:r>
        <w:t xml:space="preserve"> </w:t>
      </w:r>
      <w:r>
        <w:t xml:space="preserve">Strict application of GHG Protocol standards ensures a structured and comparable assessment.</w:t>
      </w:r>
    </w:p>
    <w:p>
      <w:pPr>
        <w:numPr>
          <w:ilvl w:val="0"/>
          <w:numId w:val="1016"/>
        </w:numPr>
        <w:pStyle w:val="Compact"/>
      </w:pPr>
      <w:r>
        <w:rPr>
          <w:bCs/>
          <w:b/>
        </w:rPr>
        <w:t xml:space="preserve">Data Sources:</w:t>
      </w:r>
      <w:r>
        <w:t xml:space="preserve"> </w:t>
      </w:r>
      <w:r>
        <w:t xml:space="preserve">Utilization of detailed Bill of Materials for material impacts and representative industry-standard emission factors (e.g., Ecoinvent) for background data.</w:t>
      </w:r>
    </w:p>
    <w:p>
      <w:pPr>
        <w:numPr>
          <w:ilvl w:val="0"/>
          <w:numId w:val="1016"/>
        </w:numPr>
        <w:pStyle w:val="Compact"/>
      </w:pPr>
      <w:r>
        <w:rPr>
          <w:bCs/>
          <w:b/>
        </w:rPr>
        <w:t xml:space="preserve">Scope 3 Coverage:</w:t>
      </w:r>
      <w:r>
        <w:t xml:space="preserve"> </w:t>
      </w:r>
      <w:r>
        <w:t xml:space="preserve">The analysis covers all major Scope 3 categories as required, ensuring a high level of completeness (aiming for &gt;95% coverage as per 2026 requirements).</w:t>
      </w:r>
    </w:p>
    <w:p>
      <w:pPr>
        <w:pStyle w:val="FirstParagraph"/>
      </w:pPr>
      <w:r>
        <w:t xml:space="preserve">To further enhance reliability and accuracy, jpdiyvoqsg should consider:</w:t>
      </w:r>
    </w:p>
    <w:p>
      <w:pPr>
        <w:numPr>
          <w:ilvl w:val="0"/>
          <w:numId w:val="1017"/>
        </w:numPr>
        <w:pStyle w:val="Compact"/>
      </w:pPr>
      <w:r>
        <w:t xml:space="preserve">Collecting primary data for energy consumption and supply chain logistics specific to actual routes and modes.</w:t>
      </w:r>
    </w:p>
    <w:p>
      <w:pPr>
        <w:numPr>
          <w:ilvl w:val="0"/>
          <w:numId w:val="1017"/>
        </w:numPr>
        <w:pStyle w:val="Compact"/>
      </w:pPr>
      <w:r>
        <w:t xml:space="preserve">Engaging with key material suppliers to obtain primary, cradle-to-gate emission factors for BOM items.</w:t>
      </w:r>
    </w:p>
    <w:p>
      <w:pPr>
        <w:numPr>
          <w:ilvl w:val="0"/>
          <w:numId w:val="1017"/>
        </w:numPr>
        <w:pStyle w:val="Compact"/>
      </w:pPr>
      <w:r>
        <w:t xml:space="preserve">Conducting a more detailed regional analysis for electricity mixes in the use phase if product usage is concentrated in specific European countries with varying energy grids.</w:t>
      </w:r>
    </w:p>
    <w:bookmarkEnd w:id="39"/>
    <w:bookmarkStart w:id="40" w:name="ghg-protocol-lsr-update-consideration"/>
    <w:p>
      <w:pPr>
        <w:pStyle w:val="Heading3"/>
      </w:pPr>
      <w:r>
        <w:t xml:space="preserve">2026 GHG Protocol LSR Update Consideration</w:t>
      </w:r>
    </w:p>
    <w:p>
      <w:pPr>
        <w:pStyle w:val="FirstParagraph"/>
      </w:pPr>
      <w:r>
        <w:t xml:space="preserve">The GHG Protocol\'s Land Sector and Removals (LSR) Standard, released in January 2026, sets requirements for accounting for land emissions, CO2 removals, and emissions from biogenic products. As "iyynkgsvhv" does not appear to be directly derived from land-intensive agricultural products or involve significant land-use change in its current description, direct application of the LSR Standard is not a primary factor in this specific PCF. However, if any components or materials in the product\'s value chain are identified as bio-based or linked to land-use activities, the LSR Standard would be meticulously applied to quantify and report associated emissions and removals in future assessments. The forthcoming LSR Guidance (Q2 2026) will provide further practical direction.</w:t>
      </w:r>
    </w:p>
    <w:bookmarkEnd w:id="40"/>
    <w:bookmarkStart w:id="41" w:name="conclusion-and-recommendations"/>
    <w:p>
      <w:pPr>
        <w:pStyle w:val="Heading3"/>
      </w:pPr>
      <w:r>
        <w:t xml:space="preserve">Conclusion and Recommendations</w:t>
      </w:r>
    </w:p>
    <w:p>
      <w:pPr>
        <w:pStyle w:val="FirstParagraph"/>
      </w:pPr>
      <w:r>
        <w:t xml:space="preserve">The Product Carbon Footprint of 21.94 kg CO2e for "iyynkgsvhv" highlights the need for strategic interventions. jpdiyvoqsg should prioritize efforts in:</w:t>
      </w:r>
    </w:p>
    <w:p>
      <w:pPr>
        <w:numPr>
          <w:ilvl w:val="0"/>
          <w:numId w:val="1018"/>
        </w:numPr>
        <w:pStyle w:val="Compact"/>
      </w:pPr>
      <w:r>
        <w:rPr>
          <w:bCs/>
          <w:b/>
        </w:rPr>
        <w:t xml:space="preserve">Use Phase Optimization:</w:t>
      </w:r>
      <w:r>
        <w:t xml:space="preserve"> </w:t>
      </w:r>
      <w:r>
        <w:t xml:space="preserve">Investigate opportunities to reduce the product\'s energy consumption during its use or extend its lifespan to amortize impacts over a longer period. Promoting the use of renewable energy by end-users in Europe could also significantly reduce this impact.</w:t>
      </w:r>
    </w:p>
    <w:p>
      <w:pPr>
        <w:numPr>
          <w:ilvl w:val="0"/>
          <w:numId w:val="1018"/>
        </w:numPr>
        <w:pStyle w:val="Compact"/>
      </w:pPr>
      <w:r>
        <w:rPr>
          <w:bCs/>
          <w:b/>
        </w:rPr>
        <w:t xml:space="preserve">Sustainable Material Sourcing:</w:t>
      </w:r>
      <w:r>
        <w:t xml:space="preserve"> </w:t>
      </w:r>
      <w:r>
        <w:t xml:space="preserve">Explore alternative, lower-carbon materials for the Steel Frame, Plastic Casing, and Circuit Board. Engaging with suppliers on decarbonization initiatives is crucial.</w:t>
      </w:r>
    </w:p>
    <w:p>
      <w:pPr>
        <w:numPr>
          <w:ilvl w:val="0"/>
          <w:numId w:val="1018"/>
        </w:numPr>
        <w:pStyle w:val="Compact"/>
      </w:pPr>
      <w:r>
        <w:rPr>
          <w:bCs/>
          <w:b/>
        </w:rPr>
        <w:t xml:space="preserve">Enhancing Circularity:</w:t>
      </w:r>
      <w:r>
        <w:t xml:space="preserve"> </w:t>
      </w:r>
      <w:r>
        <w:t xml:space="preserve">Leverage the existing voluntary take-back program and aim to increase the actual recycling rate beyond 80% to maximize avoided emissions benefits. Designing for disassembly and repair could also extend lifespan and reduce waste.</w:t>
      </w:r>
    </w:p>
    <w:p>
      <w:pPr>
        <w:pStyle w:val="FirstParagraph"/>
      </w:pPr>
      <w:r>
        <w:t xml:space="preserve">This PCF serves as a foundational step for jpdiyvoqsg to inform its sustainability strategy, identify impactful reduction opportunities, and comply with evolving reporting standards.</w:t>
      </w:r>
    </w:p>
    <w:p>
      <w:r>
        <w:pict>
          <v:rect style="width:0;height:1.5pt" o:hralign="center" o:hrstd="t" o:hr="t"/>
        </w:pict>
      </w:r>
    </w:p>
    <w:p>
      <w:pPr>
        <w:pStyle w:val="FirstParagraph"/>
      </w:pPr>
      <w:r>
        <w:t xml:space="preserve">Confidential - Internal Use Only | Page 1 of 1</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iyynkgsvhv</dc:title>
  <dc:creator/>
  <dc:description>High-detail Product Carbon Footprint (PCF) analysis for iyynkgsvhv, performed by Senior Sustainability Consultant iikxqmzoln for jpdiyvoqsg, adhering to GHG Protocol standards and 2026 updates.</dc:description>
  <dc:language>en</dc:language>
  <cp:keywords/>
  <dcterms:created xsi:type="dcterms:W3CDTF">2026-05-30T15:59:19Z</dcterms:created>
  <dcterms:modified xsi:type="dcterms:W3CDTF">2026-05-30T15:59:19Z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