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iysuoggret</w:t>
      </w:r>
    </w:p>
    <w:p>
      <w:pPr>
        <w:pStyle w:val="FirstParagraph"/>
      </w:pPr>
      <w:r>
        <w:t xml:space="preserve">carboncalcpcf.com</w:t>
      </w:r>
      <w:r>
        <w:t xml:space="preserve"> </w:t>
      </w:r>
      <w:r>
        <w:t xml:space="preserve">I am generating the report based on the provided parameters. Since the actual values for `sxfrjfle`, `Select Mode`, `nqwodlvdrs`, `Delivery Type`, `kiheydexhe`, `hnkepgmgrt`, `fjweunnpzr`, `svitxweyve`, `tqiphtzwjl`, and `orqulgqfxy` are placeholders, I will use **illustrative example values** that fit the specified format and industry averages for the calculations and detailed breakdowns. These examples are for demonstration purposes to showcase the methodology.</w:t>
      </w:r>
    </w:p>
    <w:p>
      <w:pPr>
        <w:pStyle w:val="BodyText"/>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iysuoggret</w:t>
      </w:r>
    </w:p>
    <w:p>
      <w:pPr>
        <w:pStyle w:val="BodyText"/>
      </w:pPr>
      <w:r>
        <w:rPr>
          <w:bCs/>
          <w:b/>
        </w:rPr>
        <w:t xml:space="preserve">Company:</w:t>
      </w:r>
      <w:r>
        <w:t xml:space="preserve"> </w:t>
      </w:r>
      <w:r>
        <w:t xml:space="preserve">ptutlhxsyx</w:t>
      </w:r>
    </w:p>
    <w:p>
      <w:pPr>
        <w:pStyle w:val="BodyText"/>
      </w:pPr>
      <w:r>
        <w:rPr>
          <w:bCs/>
          <w:b/>
        </w:rPr>
        <w:t xml:space="preserve">Senior Sustainability Consultant:</w:t>
      </w:r>
      <w:r>
        <w:t xml:space="preserve"> </w:t>
      </w:r>
      <w:r>
        <w:t xml:space="preserve">mirosrfgmz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Illustrative data has been used where specific quantitative parameters were provided as placeholders.</w:t>
      </w:r>
    </w:p>
    <w:bookmarkEnd w:id="20"/>
    <w:p>
      <w:pPr>
        <w:pStyle w:val="BodyText"/>
      </w:pPr>
      <w:r>
        <w:t xml:space="preserve">Product Carbon Footprint Report - iysuoggret | Generated Date: May 21, 2026</w:t>
      </w:r>
      <w:r>
        <w:t xml:space="preserve"> </w:t>
      </w:r>
      <w:r>
        <w:t xml:space="preserve">Page 1</w:t>
      </w:r>
    </w:p>
    <w:bookmarkStart w:id="48"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iysuoggret</w:t>
      </w:r>
      <w:r>
        <w:t xml:space="preserve"> </w:t>
      </w:r>
      <w:r>
        <w:t xml:space="preserve">manufactured by</w:t>
      </w:r>
      <w:r>
        <w:t xml:space="preserve"> </w:t>
      </w:r>
      <w:r>
        <w:rPr>
          <w:bCs/>
          <w:b/>
        </w:rPr>
        <w:t xml:space="preserve">ptutlhxsyx</w:t>
      </w:r>
      <w:r>
        <w:t xml:space="preserve">. As</w:t>
      </w:r>
      <w:r>
        <w:t xml:space="preserve"> </w:t>
      </w:r>
      <w:r>
        <w:rPr>
          <w:bCs/>
          <w:b/>
        </w:rPr>
        <w:t xml:space="preserve">mirosrfgmz</w:t>
      </w:r>
      <w:r>
        <w:t xml:space="preserve">, a Senior Sustainability Consultant specializing in the GHG Protocol, this analysis aims to quantify the greenhouse gas (GHG) emissions across the entire lifecycle of one functional unit of iysuoggret. The study adheres strictly to the GHG Protocol\'s accounting and reporting standards, including the 2026 Land Sector and Removals (LSR) Standard update, and ensures at least 95% coverage for Scope 3 emissions. The findings highlight key emission hotspots and provide a foundational understanding for targeted decarbonization strategies.</w:t>
      </w:r>
    </w:p>
    <w:p>
      <w:r>
        <w:pict>
          <v:rect style="width:0;height:1.5pt" o:hralign="center" o:hrstd="t" o:hr="t"/>
        </w:pict>
      </w:r>
    </w:p>
    <w:bookmarkStart w:id="21" w:name="define-scope"/>
    <w:p>
      <w:pPr>
        <w:pStyle w:val="Heading2"/>
      </w:pPr>
      <w:r>
        <w:t xml:space="preserve">1. Define Scope</w:t>
      </w:r>
    </w:p>
    <w:p>
      <w:pPr>
        <w:pStyle w:val="FirstParagraph"/>
      </w:pPr>
      <w:r>
        <w:t xml:space="preserve">The initial phase of this PCF analysis involved clearly defining the parameters and boundaries of the study to ensure accurate and relevant results.</w:t>
      </w:r>
    </w:p>
    <w:p>
      <w:pPr>
        <w:numPr>
          <w:ilvl w:val="0"/>
          <w:numId w:val="1001"/>
        </w:numPr>
        <w:pStyle w:val="Compact"/>
      </w:pPr>
      <w:r>
        <w:rPr>
          <w:bCs/>
          <w:b/>
        </w:rPr>
        <w:t xml:space="preserve">Functional Unit:</w:t>
      </w:r>
      <w:r>
        <w:t xml:space="preserve"> </w:t>
      </w:r>
      <w:r>
        <w:t xml:space="preserve">The functional unit for this PCF study is defined as</w:t>
      </w:r>
      <w:r>
        <w:t xml:space="preserve"> </w:t>
      </w:r>
      <w:r>
        <w:rPr>
          <w:bCs/>
          <w:b/>
        </w:rPr>
        <w:t xml:space="preserve">1.0 unit of iysuoggret</w:t>
      </w:r>
      <w:r>
        <w:t xml:space="preserve">. This unit serves as the reference basis for all emission calculations and comparisons.</w:t>
      </w:r>
    </w:p>
    <w:p>
      <w:pPr>
        <w:numPr>
          <w:ilvl w:val="0"/>
          <w:numId w:val="1001"/>
        </w:numPr>
        <w:pStyle w:val="Compact"/>
      </w:pPr>
      <w:r>
        <w:rPr>
          <w:bCs/>
          <w:b/>
        </w:rPr>
        <w:t xml:space="preserve">System Boundary:</w:t>
      </w:r>
      <w:r>
        <w:t xml:space="preserve"> </w:t>
      </w:r>
      <w:r>
        <w:t xml:space="preserve">The system boundary for this analysis is "factory_gate" (cradle-to-gate) but has been extended to include the full lifecycle stages of Use Phase and End-of-Life (EoL) to provide a comprehensive "cradle-to-grave" assessment, in line with best practices for product-level assessments. This includes raw material extraction, manufacturing, transportation, use,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distribution to Europe)</w:t>
      </w:r>
    </w:p>
    <w:p>
      <w:pPr>
        <w:numPr>
          <w:ilvl w:val="0"/>
          <w:numId w:val="1001"/>
        </w:numPr>
        <w:pStyle w:val="Compact"/>
      </w:pPr>
      <w:r>
        <w:rPr>
          <w:bCs/>
          <w:b/>
        </w:rPr>
        <w:t xml:space="preserve">Allocation:</w:t>
      </w:r>
      <w:r>
        <w:t xml:space="preserve"> </w:t>
      </w:r>
      <w:r>
        <w:t xml:space="preserve">Emissions are allocated directly to the functional unit (1.0 unit of iysuoggret). For processes involving co-products or by-products, mass-based allocation is assumed where appropriate, aligning with GHG Protocol guidance.</w:t>
      </w:r>
    </w:p>
    <w:p>
      <w:pPr>
        <w:numPr>
          <w:ilvl w:val="0"/>
          <w:numId w:val="1001"/>
        </w:numPr>
        <w:pStyle w:val="Compact"/>
      </w:pPr>
      <w:r>
        <w:rPr>
          <w:bCs/>
          <w:b/>
        </w:rPr>
        <w:t xml:space="preserve">Accounting Standard:</w:t>
      </w:r>
      <w:r>
        <w:t xml:space="preserve"> </w:t>
      </w:r>
      <w:r>
        <w:t xml:space="preserve">This Product Carbon Footprint analysis is conducted in strict accordance with the</w:t>
      </w:r>
      <w:r>
        <w:t xml:space="preserve"> </w:t>
      </w:r>
      <w:r>
        <w:rPr>
          <w:bCs/>
          <w:b/>
        </w:rPr>
        <w:t xml:space="preserve">GHG Protocol Product Life Cycle Accounting and Reporting Standard</w:t>
      </w:r>
      <w:r>
        <w:t xml:space="preserve">. This standard provides the framework for quantifying and reporting GHG emissions for individual products. Emissions are categorized into Scope 1, Scope 2, and Scope 3.</w:t>
      </w:r>
    </w:p>
    <w:p>
      <w:r>
        <w:pict>
          <v:rect style="width:0;height:1.5pt" o:hralign="center" o:hrstd="t" o:hr="t"/>
        </w:pict>
      </w:r>
    </w:p>
    <w:bookmarkEnd w:id="21"/>
    <w:bookmarkStart w:id="27"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collected for each, categorizing emissions according to the GHG Protocol. Where specific data was provided as a placeholder, illustrative values have been used, clearly indicated below. Data collection focuses on primary data where available and secondary data from reputable databases (e.g., Ecoinvent, DEFRA) for generic processes and emission factors.</w:t>
      </w:r>
    </w:p>
    <w:bookmarkStart w:id="22" w:name="X1198c8af25dd1a2ebffa686809674f976343a37"/>
    <w:p>
      <w:pPr>
        <w:pStyle w:val="Heading3"/>
      </w:pPr>
      <w:r>
        <w:t xml:space="preserve">Material Acquisition &amp; Pre-processing (Scope 3 - Upstream)</w:t>
      </w:r>
    </w:p>
    <w:p>
      <w:pPr>
        <w:pStyle w:val="FirstParagraph"/>
      </w:pPr>
      <w:r>
        <w:t xml:space="preserve">This stage covers the extraction of raw materials and their processing into components used in</w:t>
      </w:r>
      <w:r>
        <w:t xml:space="preserve"> </w:t>
      </w:r>
      <w:r>
        <w:rPr>
          <w:bCs/>
          <w:b/>
        </w:rPr>
        <w:t xml:space="preserve">iysuoggret</w:t>
      </w:r>
      <w:r>
        <w:t xml:space="preserve">. The Detailed Bill of Materials (BOM)</w:t>
      </w:r>
      <w:r>
        <w:t xml:space="preserve"> </w:t>
      </w:r>
      <w:r>
        <w:rPr>
          <w:bCs/>
          <w:b/>
        </w:rPr>
        <w:t xml:space="preserve">sxfrjfle</w:t>
      </w:r>
      <w:r>
        <w:t xml:space="preserve"> </w:t>
      </w:r>
      <w:r>
        <w:t xml:space="preserve">is critical for high-accuracy material impact calculation.</w:t>
      </w:r>
    </w:p>
    <w:p>
      <w:pPr>
        <w:pStyle w:val="BodyText"/>
      </w:pPr>
      <w:r>
        <w:rPr>
          <w:iCs/>
          <w:i/>
        </w:rPr>
        <w:t xml:space="preserve">*Note: The actual BOM (sxfrjfle) was provided as a placeholder. The following table uses illustrative example data based on the specified format (ID, Description, Category, Process, Qty, Unit, Emission Factor, Total Carbon) and typical material types for a manufactured product. Emission factors are illustrative, based on industry averages (e.g., Ecoinvent database).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Aluminum Extrusion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Semiconductor Fab (Asia)</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Drawing (Europe)</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 (Asia)</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Pulp &amp; Paper Mill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gridSpan w:val="7"/>
          </w:tcPr>
          <w:p>
            <w:pPr>
              <w:pStyle w:val="Compact"/>
              <w:jc w:val="right"/>
            </w:pPr>
            <w:r>
              <w:rPr>
                <w:bCs/>
                <w:b/>
              </w:rPr>
              <w:t xml:space="preserve">Subtotal Material Emissions (Illustrative)</w:t>
            </w:r>
          </w:p>
        </w:tc>
        <w:tc>
          <w:tcPr/>
          <w:p>
            <w:pPr>
              <w:pStyle w:val="Compact"/>
              <w:jc w:val="left"/>
            </w:pPr>
            <w:r>
              <w:rPr>
                <w:bCs/>
                <w:b/>
              </w:rPr>
              <w:t xml:space="preserve">7.45</w:t>
            </w:r>
          </w:p>
        </w:tc>
      </w:tr>
    </w:tbl>
    <w:p>
      <w:pPr>
        <w:pStyle w:val="BodyText"/>
      </w:pPr>
      <w:r>
        <w:rPr>
          <w:iCs/>
          <w:i/>
        </w:rPr>
        <w:t xml:space="preserve">These "Total Carbon" values are derived from Qty * Emission Factor and are illustrative for the placeholder BOM (sxfrjfle). Actual values would be directly input if available in the provided BOM string.</w:t>
      </w:r>
    </w:p>
    <w:bookmarkEnd w:id="22"/>
    <w:bookmarkStart w:id="23" w:name="X8c5c4da766a9b08e7a4b1ae7ea2735b5f8b4d0a"/>
    <w:p>
      <w:pPr>
        <w:pStyle w:val="Heading3"/>
      </w:pPr>
      <w:r>
        <w:t xml:space="preserve">Manufacturing/Production (Scope 1 &amp; 2 for direct operations, Scope 3 for purchased energy upstream emissions)</w:t>
      </w:r>
    </w:p>
    <w:p>
      <w:pPr>
        <w:pStyle w:val="FirstParagraph"/>
      </w:pPr>
      <w:r>
        <w:t xml:space="preserve">The manufacturing process for</w:t>
      </w:r>
      <w:r>
        <w:t xml:space="preserve"> </w:t>
      </w:r>
      <w:r>
        <w:rPr>
          <w:bCs/>
          <w:b/>
        </w:rPr>
        <w:t xml:space="preserve">iysuoggret</w:t>
      </w:r>
      <w:r>
        <w:t xml:space="preserve"> </w:t>
      </w:r>
      <w:r>
        <w:t xml:space="preserve">occurs in China. Emissions are primarily from purchased electricity (Scope 2) and any direct fuel combustion (Scope 1). Upstream emissions related to fuel and energy production are covered under Scope 3, Category 3.</w:t>
      </w:r>
    </w:p>
    <w:p>
      <w:pPr>
        <w:numPr>
          <w:ilvl w:val="0"/>
          <w:numId w:val="1003"/>
        </w:numPr>
        <w:pStyle w:val="Compact"/>
      </w:pPr>
      <w:r>
        <w:rPr>
          <w:bCs/>
          <w:b/>
        </w:rPr>
        <w:t xml:space="preserve">Renewable Energy Usage (kiheydexhe):</w:t>
      </w:r>
      <w:r>
        <w:t xml:space="preserve"> </w:t>
      </w:r>
      <w:r>
        <w:t xml:space="preserve">Illustrative value:</w:t>
      </w:r>
      <w:r>
        <w:t xml:space="preserve"> </w:t>
      </w:r>
      <w:r>
        <w:rPr>
          <w:bCs/>
          <w:b/>
        </w:rPr>
        <w:t xml:space="preserve">30%</w:t>
      </w:r>
      <w:r>
        <w:t xml:space="preserve">. This percentage of purchased electricity is sourced from renewable energy, reducing the grid electricity impact.</w:t>
      </w:r>
    </w:p>
    <w:p>
      <w:pPr>
        <w:numPr>
          <w:ilvl w:val="0"/>
          <w:numId w:val="1003"/>
        </w:numPr>
        <w:pStyle w:val="Compact"/>
      </w:pPr>
      <w:r>
        <w:rPr>
          <w:bCs/>
          <w:b/>
        </w:rPr>
        <w:t xml:space="preserve">Energy Intensity (kWh/unit) (hnkepgmgrt):</w:t>
      </w:r>
      <w:r>
        <w:t xml:space="preserve"> </w:t>
      </w:r>
      <w:r>
        <w:t xml:space="preserve">Illustrative value:</w:t>
      </w:r>
      <w:r>
        <w:t xml:space="preserve"> </w:t>
      </w:r>
      <w:r>
        <w:rPr>
          <w:bCs/>
          <w:b/>
        </w:rPr>
        <w:t xml:space="preserve">5.0 kWh/unit</w:t>
      </w:r>
      <w:r>
        <w:t xml:space="preserve">. This is the electricity consumed per unit of iysuoggret produced.</w:t>
      </w:r>
    </w:p>
    <w:p>
      <w:pPr>
        <w:numPr>
          <w:ilvl w:val="0"/>
          <w:numId w:val="1003"/>
        </w:numPr>
        <w:pStyle w:val="Compact"/>
      </w:pPr>
      <w:r>
        <w:rPr>
          <w:bCs/>
          <w:b/>
        </w:rPr>
        <w:t xml:space="preserve">Grid Emission Factor (China):</w:t>
      </w:r>
      <w:r>
        <w:t xml:space="preserve"> </w:t>
      </w:r>
      <w:r>
        <w:t xml:space="preserve">An illustrative factor for China\'s electricity grid mix is used (e.g., 0.6 kg CO₂e/kWh, average for manufacturing in China, noting that energy intensity reduction has slowed in China).</w:t>
      </w:r>
    </w:p>
    <w:p>
      <w:pPr>
        <w:numPr>
          <w:ilvl w:val="0"/>
          <w:numId w:val="1003"/>
        </w:numPr>
        <w:pStyle w:val="Compact"/>
      </w:pPr>
      <w:r>
        <w:rPr>
          <w:bCs/>
          <w:b/>
        </w:rPr>
        <w:t xml:space="preserve">Direct Emissions (Scope 1):</w:t>
      </w:r>
      <w:r>
        <w:t xml:space="preserve"> </w:t>
      </w:r>
      <w:r>
        <w:t xml:space="preserve">Assumed negligible for this product\'s manufacturing process, focusing on electricity use. If direct fuel combustion or fugitive emissions were present (e.g., from owned boilers or refrigerants), they would be quantified here.</w:t>
      </w:r>
    </w:p>
    <w:bookmarkEnd w:id="23"/>
    <w:bookmarkStart w:id="24" w:name="X44549f4e0f966634f119e6d9621d5d1b43bdeba"/>
    <w:p>
      <w:pPr>
        <w:pStyle w:val="Heading3"/>
      </w:pPr>
      <w:r>
        <w:t xml:space="preserve">Transportation and Distribution (Scope 3 - Upstream &amp; Downstream)</w:t>
      </w:r>
    </w:p>
    <w:p>
      <w:pPr>
        <w:pStyle w:val="FirstParagraph"/>
      </w:pPr>
      <w:r>
        <w:t xml:space="preserve">This stage includes all transport of raw materials to the factory (upstream) and finished products to the customer (downstream).</w:t>
      </w:r>
    </w:p>
    <w:p>
      <w:pPr>
        <w:pStyle w:val="BodyText"/>
      </w:pPr>
      <w:r>
        <w:rPr>
          <w:iCs/>
          <w:i/>
        </w:rPr>
        <w:t xml:space="preserve">*Note: The actual Transport Mode, Transport Distance, and Last-Mile Delivery Channel were provided as placeholders. The following uses illustrative example data.</w:t>
      </w:r>
    </w:p>
    <w:p>
      <w:pPr>
        <w:numPr>
          <w:ilvl w:val="0"/>
          <w:numId w:val="1004"/>
        </w:numPr>
        <w:pStyle w:val="Compact"/>
      </w:pPr>
      <w:r>
        <w:rPr>
          <w:bCs/>
          <w:b/>
        </w:rPr>
        <w:t xml:space="preserve">Transport Mode (Select Mode):</w:t>
      </w:r>
      <w:r>
        <w:t xml:space="preserve"> </w:t>
      </w:r>
      <w:r>
        <w:t xml:space="preserve">Illustrative value:</w:t>
      </w:r>
      <w:r>
        <w:t xml:space="preserve"> </w:t>
      </w:r>
      <w:r>
        <w:rPr>
          <w:bCs/>
          <w:b/>
        </w:rPr>
        <w:t xml:space="preserve">Ocean Freight</w:t>
      </w:r>
      <w:r>
        <w:t xml:space="preserve"> </w:t>
      </w:r>
      <w:r>
        <w:t xml:space="preserve">(for raw materials from Europe to China, and finished goods from China to Europe), followed by</w:t>
      </w:r>
      <w:r>
        <w:t xml:space="preserve"> </w:t>
      </w:r>
      <w:r>
        <w:rPr>
          <w:bCs/>
          <w:b/>
        </w:rPr>
        <w:t xml:space="preserve">Road Freight (HGV)</w:t>
      </w:r>
      <w:r>
        <w:t xml:space="preserve"> </w:t>
      </w:r>
      <w:r>
        <w:t xml:space="preserve">for last-mile delivery within Europe.</w:t>
      </w:r>
    </w:p>
    <w:p>
      <w:pPr>
        <w:numPr>
          <w:ilvl w:val="0"/>
          <w:numId w:val="1004"/>
        </w:numPr>
        <w:pStyle w:val="Compact"/>
      </w:pPr>
      <w:r>
        <w:rPr>
          <w:bCs/>
          <w:b/>
        </w:rPr>
        <w:t xml:space="preserve">Transport Distance (nqwodlvdrs):</w:t>
      </w:r>
      <w:r>
        <w:t xml:space="preserve"> </w:t>
      </w:r>
      <w:r>
        <w:t xml:space="preserve">Illustrative value:</w:t>
      </w:r>
    </w:p>
    <w:p>
      <w:pPr>
        <w:numPr>
          <w:ilvl w:val="1"/>
          <w:numId w:val="1005"/>
        </w:numPr>
        <w:pStyle w:val="Compact"/>
      </w:pPr>
      <w:r>
        <w:rPr>
          <w:bCs/>
          <w:b/>
        </w:rPr>
        <w:t xml:space="preserve">Ocean Freight (Europe to China/Europe):</w:t>
      </w:r>
      <w:r>
        <w:t xml:space="preserve"> </w:t>
      </w:r>
      <w:r>
        <w:t xml:space="preserve">15,000 km (average for intercontinental shipping).</w:t>
      </w:r>
    </w:p>
    <w:p>
      <w:pPr>
        <w:numPr>
          <w:ilvl w:val="1"/>
          <w:numId w:val="1005"/>
        </w:numPr>
        <w:pStyle w:val="Compact"/>
      </w:pPr>
      <w:r>
        <w:rPr>
          <w:bCs/>
          <w:b/>
        </w:rPr>
        <w:t xml:space="preserve">Road Freight (Last-Mile Europe):</w:t>
      </w:r>
      <w:r>
        <w:t xml:space="preserve"> </w:t>
      </w:r>
      <w:r>
        <w:t xml:space="preserve">500 km (average to distribution centers/retailers).</w:t>
      </w:r>
    </w:p>
    <w:p>
      <w:pPr>
        <w:numPr>
          <w:ilvl w:val="0"/>
          <w:numId w:val="1004"/>
        </w:numPr>
        <w:pStyle w:val="Compact"/>
      </w:pPr>
      <w:r>
        <w:rPr>
          <w:bCs/>
          <w:b/>
        </w:rPr>
        <w:t xml:space="preserve">Last-Mile Delivery Channel (Delivery Type):</w:t>
      </w:r>
      <w:r>
        <w:t xml:space="preserve"> </w:t>
      </w:r>
      <w:r>
        <w:t xml:space="preserve">Illustrative value:</w:t>
      </w:r>
      <w:r>
        <w:t xml:space="preserve"> </w:t>
      </w:r>
      <w:r>
        <w:rPr>
          <w:bCs/>
          <w:b/>
        </w:rPr>
        <w:t xml:space="preserve">Retail Distribution Centers / E-commerce parcel delivery</w:t>
      </w:r>
      <w:r>
        <w:t xml:space="preserve"> </w:t>
      </w:r>
      <w:r>
        <w:t xml:space="preserve">(for final delivery to consumer).</w:t>
      </w:r>
    </w:p>
    <w:p>
      <w:pPr>
        <w:numPr>
          <w:ilvl w:val="0"/>
          <w:numId w:val="1004"/>
        </w:numPr>
        <w:pStyle w:val="Compact"/>
      </w:pPr>
      <w:r>
        <w:rPr>
          <w:bCs/>
          <w:b/>
        </w:rPr>
        <w:t xml:space="preserve">Product Weight (for transport):</w:t>
      </w:r>
      <w:r>
        <w:t xml:space="preserve"> </w:t>
      </w:r>
      <w:r>
        <w:t xml:space="preserve">Assume the functional unit weighs approximately 1.0 kg (total from BOM and packaging).</w:t>
      </w:r>
    </w:p>
    <w:p>
      <w:pPr>
        <w:pStyle w:val="FirstParagraph"/>
      </w:pPr>
      <w:r>
        <w:rPr>
          <w:iCs/>
          <w:i/>
        </w:rPr>
        <w:t xml:space="preserve">Emission factors for transport modes are sourced from industry standards (e.g., DEFRA, IMO for marine freight, with DEFRA factors updated annually).</w:t>
      </w:r>
    </w:p>
    <w:bookmarkEnd w:id="24"/>
    <w:bookmarkStart w:id="25" w:name="use-phase-scope-3---downstream"/>
    <w:p>
      <w:pPr>
        <w:pStyle w:val="Heading3"/>
      </w:pPr>
      <w:r>
        <w:t xml:space="preserve">Use Phase (Scope 3 - Downstream)</w:t>
      </w:r>
    </w:p>
    <w:p>
      <w:pPr>
        <w:pStyle w:val="FirstParagraph"/>
      </w:pPr>
      <w:r>
        <w:t xml:space="preserve">The use phase considers emissions generated during the product\'s operational lifetime.</w:t>
      </w:r>
    </w:p>
    <w:p>
      <w:pPr>
        <w:pStyle w:val="BodyText"/>
      </w:pPr>
      <w:r>
        <w:rPr>
          <w:iCs/>
          <w:i/>
        </w:rPr>
        <w:t xml:space="preserve">*Note: The actual Product Lifespan and Energy Consumption in Use were provided as placeholders. The following uses illustrative example data.</w:t>
      </w:r>
    </w:p>
    <w:p>
      <w:pPr>
        <w:numPr>
          <w:ilvl w:val="0"/>
          <w:numId w:val="1006"/>
        </w:numPr>
        <w:pStyle w:val="Compact"/>
      </w:pPr>
      <w:r>
        <w:rPr>
          <w:bCs/>
          <w:b/>
        </w:rPr>
        <w:t xml:space="preserve">Product Lifespan (fjweunnpzr):</w:t>
      </w:r>
      <w:r>
        <w:t xml:space="preserve"> </w:t>
      </w:r>
      <w:r>
        <w:t xml:space="preserve">Illustrative value:</w:t>
      </w:r>
      <w:r>
        <w:t xml:space="preserve"> </w:t>
      </w:r>
      <w:r>
        <w:rPr>
          <w:bCs/>
          <w:b/>
        </w:rPr>
        <w:t xml:space="preserve">3 years</w:t>
      </w:r>
      <w:r>
        <w:t xml:space="preserve">.</w:t>
      </w:r>
    </w:p>
    <w:p>
      <w:pPr>
        <w:numPr>
          <w:ilvl w:val="0"/>
          <w:numId w:val="1006"/>
        </w:numPr>
        <w:pStyle w:val="Compact"/>
      </w:pPr>
      <w:r>
        <w:rPr>
          <w:bCs/>
          <w:b/>
        </w:rPr>
        <w:t xml:space="preserve">Energy Consumption in Use (svitxweyve):</w:t>
      </w:r>
      <w:r>
        <w:t xml:space="preserve"> </w:t>
      </w:r>
      <w:r>
        <w:t xml:space="preserve">Illustrative value:</w:t>
      </w:r>
      <w:r>
        <w:t xml:space="preserve"> </w:t>
      </w:r>
      <w:r>
        <w:rPr>
          <w:bCs/>
          <w:b/>
        </w:rPr>
        <w:t xml:space="preserve">10 kWh/year</w:t>
      </w:r>
      <w:r>
        <w:t xml:space="preserve"> </w:t>
      </w:r>
      <w:r>
        <w:t xml:space="preserve">(for a typical electronic product requiring power).</w:t>
      </w:r>
    </w:p>
    <w:p>
      <w:pPr>
        <w:numPr>
          <w:ilvl w:val="0"/>
          <w:numId w:val="1006"/>
        </w:numPr>
        <w:pStyle w:val="Compact"/>
      </w:pPr>
      <w:r>
        <w:rPr>
          <w:bCs/>
          <w:b/>
        </w:rPr>
        <w:t xml:space="preserve">Electricity Grid Mix (Use Phase, Europe):</w:t>
      </w:r>
      <w:r>
        <w:t xml:space="preserve"> </w:t>
      </w:r>
      <w:r>
        <w:t xml:space="preserve">An illustrative factor for the average European electricity grid mix is used (e.g., 0.25 kg CO₂e/kWh).</w:t>
      </w:r>
    </w:p>
    <w:bookmarkEnd w:id="25"/>
    <w:bookmarkStart w:id="26" w:name="Xac8faad78128a5ec4298340ff70b88499018023"/>
    <w:p>
      <w:pPr>
        <w:pStyle w:val="Heading3"/>
      </w:pPr>
      <w:r>
        <w:t xml:space="preserve">End-of-Life (EoL) Treatment (Scope 3 - Downstream)</w:t>
      </w:r>
    </w:p>
    <w:p>
      <w:pPr>
        <w:pStyle w:val="FirstParagraph"/>
      </w:pPr>
      <w:r>
        <w:t xml:space="preserve">This stage accounts for emissions and potential removals associated with the disposal, recycling, or recovery of the product and its packaging at the end of its life. This falls under Scope 3, Category 12.</w:t>
      </w:r>
    </w:p>
    <w:p>
      <w:pPr>
        <w:pStyle w:val="BodyText"/>
      </w:pPr>
      <w:r>
        <w:rPr>
          <w:iCs/>
          <w:i/>
        </w:rPr>
        <w:t xml:space="preserve">*Note: The actual Recyclability Percentage and Circular/Take-back Programs were provided as placeholders. The following uses illustrative example data.</w:t>
      </w:r>
    </w:p>
    <w:p>
      <w:pPr>
        <w:numPr>
          <w:ilvl w:val="0"/>
          <w:numId w:val="1007"/>
        </w:numPr>
        <w:pStyle w:val="Compact"/>
      </w:pPr>
      <w:r>
        <w:rPr>
          <w:bCs/>
          <w:b/>
        </w:rPr>
        <w:t xml:space="preserve">Recyclability Percentage (tqiphtzwjl):</w:t>
      </w:r>
      <w:r>
        <w:t xml:space="preserve"> </w:t>
      </w:r>
      <w:r>
        <w:t xml:space="preserve">Illustrative value:</w:t>
      </w:r>
      <w:r>
        <w:t xml:space="preserve"> </w:t>
      </w:r>
      <w:r>
        <w:rPr>
          <w:bCs/>
          <w:b/>
        </w:rPr>
        <w:t xml:space="preserve">70%</w:t>
      </w:r>
      <w:r>
        <w:t xml:space="preserve">. This indicates the percentage of the product (by mass) that is technically recyclable.</w:t>
      </w:r>
    </w:p>
    <w:p>
      <w:pPr>
        <w:numPr>
          <w:ilvl w:val="0"/>
          <w:numId w:val="1007"/>
        </w:numPr>
        <w:pStyle w:val="Compact"/>
      </w:pPr>
      <w:r>
        <w:rPr>
          <w:bCs/>
          <w:b/>
        </w:rPr>
        <w:t xml:space="preserve">Circular/Take-back Programs (orqulgqfxy):</w:t>
      </w:r>
      <w:r>
        <w:t xml:space="preserve"> </w:t>
      </w:r>
      <w:r>
        <w:t xml:space="preserve">Illustrative value:</w:t>
      </w:r>
      <w:r>
        <w:t xml:space="preserve"> </w:t>
      </w:r>
      <w:r>
        <w:rPr>
          <w:bCs/>
          <w:b/>
        </w:rPr>
        <w:t xml:space="preserve">Active take-back program for electronic components</w:t>
      </w:r>
      <w:r>
        <w:t xml:space="preserve">. This implies that a portion of the product might be collected and processed for material recovery or reuse.</w:t>
      </w:r>
    </w:p>
    <w:p>
      <w:pPr>
        <w:numPr>
          <w:ilvl w:val="0"/>
          <w:numId w:val="1007"/>
        </w:numPr>
        <w:pStyle w:val="Compact"/>
      </w:pPr>
      <w:r>
        <w:rPr>
          <w:bCs/>
          <w:b/>
        </w:rPr>
        <w:t xml:space="preserve">Disposal Scenarios:</w:t>
      </w:r>
    </w:p>
    <w:p>
      <w:pPr>
        <w:numPr>
          <w:ilvl w:val="1"/>
          <w:numId w:val="1008"/>
        </w:numPr>
        <w:pStyle w:val="Compact"/>
      </w:pPr>
      <w:r>
        <w:rPr>
          <w:bCs/>
          <w:b/>
        </w:rPr>
        <w:t xml:space="preserve">Recycling:</w:t>
      </w:r>
      <w:r>
        <w:t xml:space="preserve"> </w:t>
      </w:r>
      <w:r>
        <w:t xml:space="preserve">70% of product mass.</w:t>
      </w:r>
    </w:p>
    <w:p>
      <w:pPr>
        <w:numPr>
          <w:ilvl w:val="1"/>
          <w:numId w:val="1008"/>
        </w:numPr>
        <w:pStyle w:val="Compact"/>
      </w:pPr>
      <w:r>
        <w:rPr>
          <w:bCs/>
          <w:b/>
        </w:rPr>
        <w:t xml:space="preserve">Incineration (with energy recovery):</w:t>
      </w:r>
      <w:r>
        <w:t xml:space="preserve"> </w:t>
      </w:r>
      <w:r>
        <w:t xml:space="preserve">10% of product mass.</w:t>
      </w:r>
    </w:p>
    <w:p>
      <w:pPr>
        <w:numPr>
          <w:ilvl w:val="1"/>
          <w:numId w:val="1008"/>
        </w:numPr>
        <w:pStyle w:val="Compact"/>
      </w:pPr>
      <w:r>
        <w:rPr>
          <w:bCs/>
          <w:b/>
        </w:rPr>
        <w:t xml:space="preserve">Landfill:</w:t>
      </w:r>
      <w:r>
        <w:t xml:space="preserve"> </w:t>
      </w:r>
      <w:r>
        <w:t xml:space="preserve">20% of product mass.</w:t>
      </w:r>
    </w:p>
    <w:p>
      <w:pPr>
        <w:numPr>
          <w:ilvl w:val="0"/>
          <w:numId w:val="1007"/>
        </w:numPr>
        <w:pStyle w:val="Compact"/>
      </w:pPr>
      <w:r>
        <w:rPr>
          <w:bCs/>
          <w:b/>
        </w:rPr>
        <w:t xml:space="preserve">EoL Emission Factors:</w:t>
      </w:r>
      <w:r>
        <w:t xml:space="preserve"> </w:t>
      </w:r>
      <w:r>
        <w:t xml:space="preserve">Illustrative factors are used for recycling, incineration, and landfilling (e.g., from DEFRA or EPA for waste types, considering the context of Europe for end-of-life processing).</w:t>
      </w:r>
    </w:p>
    <w:p>
      <w:r>
        <w:pict>
          <v:rect style="width:0;height:1.5pt" o:hralign="center" o:hrstd="t" o:hr="t"/>
        </w:pict>
      </w:r>
    </w:p>
    <w:bookmarkEnd w:id="26"/>
    <w:bookmarkEnd w:id="27"/>
    <w:bookmarkStart w:id="39" w:name="calculate-emissions"/>
    <w:p>
      <w:pPr>
        <w:pStyle w:val="Heading2"/>
      </w:pPr>
      <w:r>
        <w:t xml:space="preserve">4. Calculate Emissions</w:t>
      </w:r>
    </w:p>
    <w:p>
      <w:pPr>
        <w:pStyle w:val="FirstParagraph"/>
      </w:pPr>
      <w:r>
        <w:t xml:space="preserve">Emissions are calculated by multiplying activity data by relevant emission factors. All emissions are expressed in kilograms of carbon dioxide equivalent (kg CO₂e), encompassing CO₂, CH₄, N₂O, and F-gases.</w:t>
      </w:r>
    </w:p>
    <w:p>
      <w:pPr>
        <w:pStyle w:val="BodyText"/>
      </w:pPr>
      <w:r>
        <w:rPr>
          <w:iCs/>
          <w:i/>
        </w:rPr>
        <w:t xml:space="preserve">*Note: All calculations below use the illustrative example data established in Section 3 due to placeholder parameters.</w:t>
      </w:r>
    </w:p>
    <w:bookmarkStart w:id="30" w:name="scope-3-upstream-emissions"/>
    <w:p>
      <w:pPr>
        <w:pStyle w:val="Heading3"/>
      </w:pPr>
      <w:r>
        <w:t xml:space="preserve">4.1. Scope 3: Upstream Emissions</w:t>
      </w:r>
    </w:p>
    <w:bookmarkStart w:id="28" w:name="purchased-goods-and-services-category-1"/>
    <w:p>
      <w:pPr>
        <w:pStyle w:val="Heading4"/>
      </w:pPr>
      <w:r>
        <w:t xml:space="preserve">4.1.1. Purchased Goods and Services (Category 1)</w:t>
      </w:r>
    </w:p>
    <w:p>
      <w:pPr>
        <w:pStyle w:val="FirstParagraph"/>
      </w:pPr>
      <w:r>
        <w:t xml:space="preserve">Emissions from raw materials and components (based on illustrative BOM):</w:t>
      </w:r>
    </w:p>
    <w:p>
      <w:pPr>
        <w:numPr>
          <w:ilvl w:val="0"/>
          <w:numId w:val="1009"/>
        </w:numPr>
        <w:pStyle w:val="Compact"/>
      </w:pPr>
      <w:r>
        <w:t xml:space="preserve">Subtotal Material Emissions (Illustrative): 7.45 kg CO₂e (from BOM table)</w:t>
      </w:r>
    </w:p>
    <w:bookmarkEnd w:id="28"/>
    <w:bookmarkStart w:id="29" w:name="X1ba14597aa58affb2f1bc7a69940c64f4addd9d"/>
    <w:p>
      <w:pPr>
        <w:pStyle w:val="Heading4"/>
      </w:pPr>
      <w:r>
        <w:t xml:space="preserve">4.1.2. Upstream Transportation and Distribution (Category 4)</w:t>
      </w:r>
    </w:p>
    <w:p>
      <w:pPr>
        <w:pStyle w:val="FirstParagraph"/>
      </w:pPr>
      <w:r>
        <w:t xml:space="preserve">Transport of raw materials to factory (assuming from Europe to China):</w:t>
      </w:r>
    </w:p>
    <w:p>
      <w:pPr>
        <w:numPr>
          <w:ilvl w:val="0"/>
          <w:numId w:val="1010"/>
        </w:numPr>
        <w:pStyle w:val="Compact"/>
      </w:pPr>
      <w:r>
        <w:t xml:space="preserve">Product Weight: 1.0 kg (illustrative, for the complete product before assembly)</w:t>
      </w:r>
    </w:p>
    <w:p>
      <w:pPr>
        <w:numPr>
          <w:ilvl w:val="0"/>
          <w:numId w:val="1010"/>
        </w:numPr>
        <w:pStyle w:val="Compact"/>
      </w:pPr>
      <w:r>
        <w:t xml:space="preserve">Ocean Freight (1.0 kg * 15,000 km * 0.005 kg CO₂e/tonne-km * 0.001 tonne/kg): 0.075 kg CO₂e (Illustrative factor)</w:t>
      </w:r>
    </w:p>
    <w:p>
      <w:pPr>
        <w:numPr>
          <w:ilvl w:val="0"/>
          <w:numId w:val="1010"/>
        </w:numPr>
        <w:pStyle w:val="Compact"/>
      </w:pPr>
      <w:r>
        <w:rPr>
          <w:bCs/>
          <w:b/>
        </w:rPr>
        <w:t xml:space="preserve">Total Upstream Transport (Illustrative): 0.075 kg CO₂e</w:t>
      </w:r>
    </w:p>
    <w:bookmarkEnd w:id="29"/>
    <w:bookmarkEnd w:id="30"/>
    <w:bookmarkStart w:id="33" w:name="X3f4d775b0e6391c0bdde25e6270aa3a38d0583a"/>
    <w:p>
      <w:pPr>
        <w:pStyle w:val="Heading3"/>
      </w:pPr>
      <w:r>
        <w:t xml:space="preserve">4.2. Scope 1 &amp; 2: Operational Emissions (Manufacturing in China)</w:t>
      </w:r>
    </w:p>
    <w:bookmarkStart w:id="31" w:name="scope-2-purchased-electricity"/>
    <w:p>
      <w:pPr>
        <w:pStyle w:val="Heading4"/>
      </w:pPr>
      <w:r>
        <w:t xml:space="preserve">4.2.1. Scope 2: Purchased Electricity</w:t>
      </w:r>
    </w:p>
    <w:p>
      <w:pPr>
        <w:numPr>
          <w:ilvl w:val="0"/>
          <w:numId w:val="1011"/>
        </w:numPr>
        <w:pStyle w:val="Compact"/>
      </w:pPr>
      <w:r>
        <w:t xml:space="preserve">Energy Intensity: 5.0 kWh/unit</w:t>
      </w:r>
    </w:p>
    <w:p>
      <w:pPr>
        <w:numPr>
          <w:ilvl w:val="0"/>
          <w:numId w:val="1011"/>
        </w:numPr>
        <w:pStyle w:val="Compact"/>
      </w:pPr>
      <w:r>
        <w:t xml:space="preserve">Renewable Energy Usage: 30%</w:t>
      </w:r>
    </w:p>
    <w:p>
      <w:pPr>
        <w:numPr>
          <w:ilvl w:val="0"/>
          <w:numId w:val="1011"/>
        </w:numPr>
        <w:pStyle w:val="Compact"/>
      </w:pPr>
      <w:r>
        <w:t xml:space="preserve">Non-renewable energy: 70% of 5.0 kWh = 3.5 kWh</w:t>
      </w:r>
    </w:p>
    <w:p>
      <w:pPr>
        <w:numPr>
          <w:ilvl w:val="0"/>
          <w:numId w:val="1011"/>
        </w:numPr>
        <w:pStyle w:val="Compact"/>
      </w:pPr>
      <w:r>
        <w:t xml:space="preserve">Illustrative China Grid Emission Factor: 0.6 kg CO₂e/kWh</w:t>
      </w:r>
    </w:p>
    <w:p>
      <w:pPr>
        <w:numPr>
          <w:ilvl w:val="0"/>
          <w:numId w:val="1011"/>
        </w:numPr>
        <w:pStyle w:val="Compact"/>
      </w:pPr>
      <w:r>
        <w:t xml:space="preserve">Emissions from Purchased Electricity: 3.5 kWh * 0.6 kg CO₂e/kWh = 2.1 kg CO₂e</w:t>
      </w:r>
    </w:p>
    <w:p>
      <w:pPr>
        <w:numPr>
          <w:ilvl w:val="0"/>
          <w:numId w:val="1011"/>
        </w:numPr>
        <w:pStyle w:val="Compact"/>
      </w:pPr>
      <w:r>
        <w:rPr>
          <w:bCs/>
          <w:b/>
        </w:rPr>
        <w:t xml:space="preserve">Total Scope 2 Emissions (Illustrative): 2.1 kg CO₂e</w:t>
      </w:r>
    </w:p>
    <w:bookmarkEnd w:id="31"/>
    <w:bookmarkStart w:id="32" w:name="scope-1-direct-emissions"/>
    <w:p>
      <w:pPr>
        <w:pStyle w:val="Heading4"/>
      </w:pPr>
      <w:r>
        <w:t xml:space="preserve">4.2.2. Scope 1: Direct Emissions</w:t>
      </w:r>
    </w:p>
    <w:p>
      <w:pPr>
        <w:numPr>
          <w:ilvl w:val="0"/>
          <w:numId w:val="1012"/>
        </w:numPr>
        <w:pStyle w:val="Compact"/>
      </w:pPr>
      <w:r>
        <w:t xml:space="preserve">Assumed negligible for manufacturing processes focused on electricity use.</w:t>
      </w:r>
    </w:p>
    <w:p>
      <w:pPr>
        <w:numPr>
          <w:ilvl w:val="0"/>
          <w:numId w:val="1012"/>
        </w:numPr>
        <w:pStyle w:val="Compact"/>
      </w:pPr>
      <w:r>
        <w:rPr>
          <w:bCs/>
          <w:b/>
        </w:rPr>
        <w:t xml:space="preserve">Total Scope 1 Emissions (Illustrative): 0.0 kg CO₂e</w:t>
      </w:r>
    </w:p>
    <w:bookmarkEnd w:id="32"/>
    <w:bookmarkEnd w:id="33"/>
    <w:bookmarkStart w:id="37" w:name="scope-3-downstream-emissions"/>
    <w:p>
      <w:pPr>
        <w:pStyle w:val="Heading3"/>
      </w:pPr>
      <w:r>
        <w:t xml:space="preserve">4.3. Scope 3: Downstream Emissions</w:t>
      </w:r>
    </w:p>
    <w:bookmarkStart w:id="34" w:name="X4a4e8e3b229fc696037344f6caf20042bf5cbd8"/>
    <w:p>
      <w:pPr>
        <w:pStyle w:val="Heading4"/>
      </w:pPr>
      <w:r>
        <w:t xml:space="preserve">4.3.1. Downstream Transportation and Distribution (Category 9)</w:t>
      </w:r>
    </w:p>
    <w:p>
      <w:pPr>
        <w:pStyle w:val="FirstParagraph"/>
      </w:pPr>
      <w:r>
        <w:t xml:space="preserve">Transport of finished product from factory (China) to customer (Europe):</w:t>
      </w:r>
    </w:p>
    <w:p>
      <w:pPr>
        <w:numPr>
          <w:ilvl w:val="0"/>
          <w:numId w:val="1013"/>
        </w:numPr>
        <w:pStyle w:val="Compact"/>
      </w:pPr>
      <w:r>
        <w:t xml:space="preserve">Product Weight: 1.0 kg</w:t>
      </w:r>
    </w:p>
    <w:p>
      <w:pPr>
        <w:numPr>
          <w:ilvl w:val="0"/>
          <w:numId w:val="1013"/>
        </w:numPr>
        <w:pStyle w:val="Compact"/>
      </w:pPr>
      <w:r>
        <w:t xml:space="preserve">Ocean Freight (China to Europe): (1.0 kg * 15,000 km * 0.005 kg CO₂e/tonne-km * 0.001 tonne/kg): 0.075 kg CO₂e (Illustrative factor)</w:t>
      </w:r>
    </w:p>
    <w:p>
      <w:pPr>
        <w:numPr>
          <w:ilvl w:val="0"/>
          <w:numId w:val="1013"/>
        </w:numPr>
        <w:pStyle w:val="Compact"/>
      </w:pPr>
      <w:r>
        <w:t xml:space="preserve">Road Freight (Last-Mile Europe): (1.0 kg * 500 km * 0.07 kg CO₂e/tonne-km * 0.001 tonne/kg): 0.035 kg CO₂e (Illustrative factor)</w:t>
      </w:r>
    </w:p>
    <w:p>
      <w:pPr>
        <w:numPr>
          <w:ilvl w:val="0"/>
          <w:numId w:val="1013"/>
        </w:numPr>
        <w:pStyle w:val="Compact"/>
      </w:pPr>
      <w:r>
        <w:rPr>
          <w:bCs/>
          <w:b/>
        </w:rPr>
        <w:t xml:space="preserve">Total Downstream Transport (Illustrative): 0.11 kg CO₂e</w:t>
      </w:r>
    </w:p>
    <w:bookmarkEnd w:id="34"/>
    <w:bookmarkStart w:id="35" w:name="use-of-sold-products-category-11"/>
    <w:p>
      <w:pPr>
        <w:pStyle w:val="Heading4"/>
      </w:pPr>
      <w:r>
        <w:t xml:space="preserve">4.3.2. Use of Sold Products (Category 11)</w:t>
      </w:r>
    </w:p>
    <w:p>
      <w:pPr>
        <w:numPr>
          <w:ilvl w:val="0"/>
          <w:numId w:val="1014"/>
        </w:numPr>
        <w:pStyle w:val="Compact"/>
      </w:pPr>
      <w:r>
        <w:t xml:space="preserve">Product Lifespan: 3 years</w:t>
      </w:r>
    </w:p>
    <w:p>
      <w:pPr>
        <w:numPr>
          <w:ilvl w:val="0"/>
          <w:numId w:val="1014"/>
        </w:numPr>
        <w:pStyle w:val="Compact"/>
      </w:pPr>
      <w:r>
        <w:t xml:space="preserve">Energy Consumption in Use: 10 kWh/year</w:t>
      </w:r>
    </w:p>
    <w:p>
      <w:pPr>
        <w:numPr>
          <w:ilvl w:val="0"/>
          <w:numId w:val="1014"/>
        </w:numPr>
        <w:pStyle w:val="Compact"/>
      </w:pPr>
      <w:r>
        <w:t xml:space="preserve">Illustrative Europe Grid Emission Factor: 0.25 kg CO₂e/kWh</w:t>
      </w:r>
    </w:p>
    <w:p>
      <w:pPr>
        <w:numPr>
          <w:ilvl w:val="0"/>
          <w:numId w:val="1014"/>
        </w:numPr>
        <w:pStyle w:val="Compact"/>
      </w:pPr>
      <w:r>
        <w:t xml:space="preserve">Emissions from Use: 3 years * 10 kWh/year * 0.25 kg CO₂e/kWh = 7.5 kg CO₂e</w:t>
      </w:r>
    </w:p>
    <w:p>
      <w:pPr>
        <w:numPr>
          <w:ilvl w:val="0"/>
          <w:numId w:val="1014"/>
        </w:numPr>
        <w:pStyle w:val="Compact"/>
      </w:pPr>
      <w:r>
        <w:rPr>
          <w:bCs/>
          <w:b/>
        </w:rPr>
        <w:t xml:space="preserve">Total Use Phase Emissions (Illustrative): 7.5 kg CO₂e</w:t>
      </w:r>
    </w:p>
    <w:bookmarkEnd w:id="35"/>
    <w:bookmarkStart w:id="36" w:name="X7eecd0528a4129578e12f0f82acdf78ed4201e7"/>
    <w:p>
      <w:pPr>
        <w:pStyle w:val="Heading4"/>
      </w:pPr>
      <w:r>
        <w:t xml:space="preserve">4.3.3. End-of-Life Treatment of Sold Products (Category 12)</w:t>
      </w:r>
    </w:p>
    <w:p>
      <w:pPr>
        <w:numPr>
          <w:ilvl w:val="0"/>
          <w:numId w:val="1015"/>
        </w:numPr>
        <w:pStyle w:val="Compact"/>
      </w:pPr>
      <w:r>
        <w:t xml:space="preserve">Product Weight: 1.0 kg</w:t>
      </w:r>
    </w:p>
    <w:p>
      <w:pPr>
        <w:numPr>
          <w:ilvl w:val="0"/>
          <w:numId w:val="1015"/>
        </w:numPr>
        <w:pStyle w:val="Compact"/>
      </w:pPr>
      <w:r>
        <w:t xml:space="preserve">Recyclability: 70%</w:t>
      </w:r>
    </w:p>
    <w:p>
      <w:pPr>
        <w:numPr>
          <w:ilvl w:val="0"/>
          <w:numId w:val="1015"/>
        </w:numPr>
        <w:pStyle w:val="Compact"/>
      </w:pPr>
      <w:r>
        <w:t xml:space="preserve">Incineration: 10%</w:t>
      </w:r>
    </w:p>
    <w:p>
      <w:pPr>
        <w:numPr>
          <w:ilvl w:val="0"/>
          <w:numId w:val="1015"/>
        </w:numPr>
        <w:pStyle w:val="Compact"/>
      </w:pPr>
      <w:r>
        <w:t xml:space="preserve">Landfill: 20%</w:t>
      </w:r>
    </w:p>
    <w:p>
      <w:pPr>
        <w:numPr>
          <w:ilvl w:val="0"/>
          <w:numId w:val="1015"/>
        </w:numPr>
        <w:pStyle w:val="Compact"/>
      </w:pPr>
      <w:r>
        <w:t xml:space="preserve">Illustrative EoL Emission Factors (e.g., based on):</w:t>
      </w:r>
    </w:p>
    <w:p>
      <w:pPr>
        <w:numPr>
          <w:ilvl w:val="1"/>
          <w:numId w:val="1016"/>
        </w:numPr>
        <w:pStyle w:val="Compact"/>
      </w:pPr>
      <w:r>
        <w:t xml:space="preserve">Recycling: 0.02 kg CO₂e/kg</w:t>
      </w:r>
    </w:p>
    <w:p>
      <w:pPr>
        <w:numPr>
          <w:ilvl w:val="1"/>
          <w:numId w:val="1016"/>
        </w:numPr>
        <w:pStyle w:val="Compact"/>
      </w:pPr>
      <w:r>
        <w:t xml:space="preserve">Incineration: 0.7 kg CO₂e/kg</w:t>
      </w:r>
    </w:p>
    <w:p>
      <w:pPr>
        <w:numPr>
          <w:ilvl w:val="1"/>
          <w:numId w:val="1016"/>
        </w:numPr>
        <w:pStyle w:val="Compact"/>
      </w:pPr>
      <w:r>
        <w:t xml:space="preserve">Landfill: 1.2 kg CO₂e/kg</w:t>
      </w:r>
    </w:p>
    <w:p>
      <w:pPr>
        <w:numPr>
          <w:ilvl w:val="0"/>
          <w:numId w:val="1015"/>
        </w:numPr>
        <w:pStyle w:val="Compact"/>
      </w:pPr>
      <w:r>
        <w:t xml:space="preserve">Recycling Emissions: 1.0 kg * 0.70 * 0.02 kg CO₂e/kg = 0.014 kg CO₂e</w:t>
      </w:r>
    </w:p>
    <w:p>
      <w:pPr>
        <w:numPr>
          <w:ilvl w:val="0"/>
          <w:numId w:val="1015"/>
        </w:numPr>
        <w:pStyle w:val="Compact"/>
      </w:pPr>
      <w:r>
        <w:t xml:space="preserve">Incineration Emissions: 1.0 kg * 0.10 * 0.7 kg CO₂e/kg = 0.07 kg CO₂e</w:t>
      </w:r>
    </w:p>
    <w:p>
      <w:pPr>
        <w:numPr>
          <w:ilvl w:val="0"/>
          <w:numId w:val="1015"/>
        </w:numPr>
        <w:pStyle w:val="Compact"/>
      </w:pPr>
      <w:r>
        <w:t xml:space="preserve">Landfill Emissions: 1.0 kg * 0.20 * 1.2 kg CO₂e/kg = 0.24 kg CO₂e</w:t>
      </w:r>
    </w:p>
    <w:p>
      <w:pPr>
        <w:numPr>
          <w:ilvl w:val="0"/>
          <w:numId w:val="1015"/>
        </w:numPr>
        <w:pStyle w:val="Compact"/>
      </w:pPr>
      <w:r>
        <w:rPr>
          <w:bCs/>
          <w:b/>
        </w:rPr>
        <w:t xml:space="preserve">Total EoL Emissions (Illustrative): 0.324 kg CO₂e</w:t>
      </w:r>
    </w:p>
    <w:bookmarkEnd w:id="36"/>
    <w:bookmarkEnd w:id="37"/>
    <w:bookmarkStart w:id="38" w:name="X9b435f9006cf04294f943c0bc3e88ac8be6bd1a"/>
    <w:p>
      <w:pPr>
        <w:pStyle w:val="Heading3"/>
      </w:pPr>
      <w:r>
        <w:t xml:space="preserve">4.4. Total Product Carbon Footprint (Illustrative)</w:t>
      </w:r>
    </w:p>
    <w:p>
      <w:pPr>
        <w:pStyle w:val="FirstParagraph"/>
      </w:pPr>
      <w:r>
        <w:t xml:space="preserve">Summing up all calculated emissions:</w:t>
      </w:r>
    </w:p>
    <w:p>
      <w:pPr>
        <w:numPr>
          <w:ilvl w:val="0"/>
          <w:numId w:val="1017"/>
        </w:numPr>
        <w:pStyle w:val="Compact"/>
      </w:pPr>
      <w:r>
        <w:t xml:space="preserve">Materials (Scope 3, Category 1): 7.45 kg CO₂e</w:t>
      </w:r>
    </w:p>
    <w:p>
      <w:pPr>
        <w:numPr>
          <w:ilvl w:val="0"/>
          <w:numId w:val="1017"/>
        </w:numPr>
        <w:pStyle w:val="Compact"/>
      </w:pPr>
      <w:r>
        <w:t xml:space="preserve">Upstream Transport (Scope 3, Category 4): 0.075 kg CO₂e</w:t>
      </w:r>
    </w:p>
    <w:p>
      <w:pPr>
        <w:numPr>
          <w:ilvl w:val="0"/>
          <w:numId w:val="1017"/>
        </w:numPr>
        <w:pStyle w:val="Compact"/>
      </w:pPr>
      <w:r>
        <w:t xml:space="preserve">Manufacturing (Scope 2): 2.1 kg CO₂e</w:t>
      </w:r>
    </w:p>
    <w:p>
      <w:pPr>
        <w:numPr>
          <w:ilvl w:val="0"/>
          <w:numId w:val="1017"/>
        </w:numPr>
        <w:pStyle w:val="Compact"/>
      </w:pPr>
      <w:r>
        <w:t xml:space="preserve">Manufacturing (Scope 1): 0.0 kg CO₂e</w:t>
      </w:r>
    </w:p>
    <w:p>
      <w:pPr>
        <w:numPr>
          <w:ilvl w:val="0"/>
          <w:numId w:val="1017"/>
        </w:numPr>
        <w:pStyle w:val="Compact"/>
      </w:pPr>
      <w:r>
        <w:t xml:space="preserve">Downstream Transport (Scope 3, Category 9): 0.11 kg CO₂e</w:t>
      </w:r>
    </w:p>
    <w:p>
      <w:pPr>
        <w:numPr>
          <w:ilvl w:val="0"/>
          <w:numId w:val="1017"/>
        </w:numPr>
        <w:pStyle w:val="Compact"/>
      </w:pPr>
      <w:r>
        <w:t xml:space="preserve">Use Phase (Scope 3, Category 11): 7.5 kg CO₂e</w:t>
      </w:r>
    </w:p>
    <w:p>
      <w:pPr>
        <w:numPr>
          <w:ilvl w:val="0"/>
          <w:numId w:val="1017"/>
        </w:numPr>
        <w:pStyle w:val="Compact"/>
      </w:pPr>
      <w:r>
        <w:t xml:space="preserve">End-of-Life (Scope 3, Category 12): 0.324 kg CO₂e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 CO₂e)</w:t>
            </w:r>
          </w:p>
        </w:tc>
        <w:tc>
          <w:tcPr/>
          <w:p>
            <w:pPr>
              <w:pStyle w:val="Compact"/>
              <w:jc w:val="left"/>
            </w:pPr>
            <w:r>
              <w:t xml:space="preserve">Percentage of Total</w:t>
            </w:r>
          </w:p>
        </w:tc>
      </w:tr>
      <w:tr>
        <w:tc>
          <w:tcPr/>
          <w:p>
            <w:pPr>
              <w:pStyle w:val="Compact"/>
              <w:jc w:val="left"/>
            </w:pPr>
            <w:r>
              <w:rPr>
                <w:bCs/>
                <w:b/>
              </w:rPr>
              <w:t xml:space="preserve">Scope 1 (Direct Operations)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Energy - Manufacturing)</w:t>
            </w:r>
          </w:p>
        </w:tc>
        <w:tc>
          <w:tcPr/>
          <w:p>
            <w:pPr>
              <w:pStyle w:val="Compact"/>
              <w:jc w:val="left"/>
            </w:pPr>
            <w:r>
              <w:t xml:space="preserve">2.10</w:t>
            </w:r>
          </w:p>
        </w:tc>
        <w:tc>
          <w:tcPr/>
          <w:p>
            <w:pPr>
              <w:pStyle w:val="Compact"/>
              <w:jc w:val="left"/>
            </w:pPr>
            <w:r>
              <w:t xml:space="preserve">12.0%</w:t>
            </w:r>
          </w:p>
        </w:tc>
      </w:tr>
      <w:tr>
        <w:tc>
          <w:tcPr/>
          <w:p>
            <w:pPr>
              <w:pStyle w:val="Compact"/>
              <w:jc w:val="left"/>
            </w:pPr>
            <w:r>
              <w:rPr>
                <w:bCs/>
                <w:b/>
              </w:rPr>
              <w:t xml:space="preserve">Scope 3 (Value Chain - Upstream)</w:t>
            </w:r>
          </w:p>
        </w:tc>
        <w:tc>
          <w:tcPr/>
          <w:p>
            <w:pPr>
              <w:pStyle w:val="Compact"/>
            </w:pPr>
          </w:p>
        </w:tc>
        <w:tc>
          <w:tcPr/>
          <w:p>
            <w:pPr>
              <w:pStyle w:val="Compact"/>
            </w:pPr>
          </w:p>
        </w:tc>
      </w:tr>
      <w:tr>
        <w:tc>
          <w:tcPr/>
          <w:p>
            <w:pPr>
              <w:pStyle w:val="Compact"/>
              <w:jc w:val="left"/>
            </w:pPr>
            <w:r>
              <w:t xml:space="preserve">- Purchased Goods and Services (Materials)</w:t>
            </w:r>
          </w:p>
        </w:tc>
        <w:tc>
          <w:tcPr/>
          <w:p>
            <w:pPr>
              <w:pStyle w:val="Compact"/>
              <w:jc w:val="left"/>
            </w:pPr>
            <w:r>
              <w:t xml:space="preserve">7.45</w:t>
            </w:r>
          </w:p>
        </w:tc>
        <w:tc>
          <w:tcPr/>
          <w:p>
            <w:pPr>
              <w:pStyle w:val="Compact"/>
              <w:jc w:val="left"/>
            </w:pPr>
            <w:r>
              <w:t xml:space="preserve">42.5%</w:t>
            </w:r>
          </w:p>
        </w:tc>
      </w:tr>
      <w:tr>
        <w:tc>
          <w:tcPr/>
          <w:p>
            <w:pPr>
              <w:pStyle w:val="Compact"/>
              <w:jc w:val="left"/>
            </w:pPr>
            <w:r>
              <w:t xml:space="preserve">- Upstream Transportation</w:t>
            </w:r>
          </w:p>
        </w:tc>
        <w:tc>
          <w:tcPr/>
          <w:p>
            <w:pPr>
              <w:pStyle w:val="Compact"/>
              <w:jc w:val="left"/>
            </w:pPr>
            <w:r>
              <w:t xml:space="preserve">0.075</w:t>
            </w:r>
          </w:p>
        </w:tc>
        <w:tc>
          <w:tcPr/>
          <w:p>
            <w:pPr>
              <w:pStyle w:val="Compact"/>
              <w:jc w:val="left"/>
            </w:pPr>
            <w:r>
              <w:t xml:space="preserve">0.4%</w:t>
            </w:r>
          </w:p>
        </w:tc>
      </w:tr>
      <w:tr>
        <w:tc>
          <w:tcPr/>
          <w:p>
            <w:pPr>
              <w:pStyle w:val="Compact"/>
              <w:jc w:val="left"/>
            </w:pPr>
            <w:r>
              <w:rPr>
                <w:bCs/>
                <w:b/>
              </w:rPr>
              <w:t xml:space="preserve">Scope 3 (Value Chain - Downstream)</w:t>
            </w:r>
          </w:p>
        </w:tc>
        <w:tc>
          <w:tcPr/>
          <w:p>
            <w:pPr>
              <w:pStyle w:val="Compact"/>
            </w:pPr>
          </w:p>
        </w:tc>
        <w:tc>
          <w:tcPr/>
          <w:p>
            <w:pPr>
              <w:pStyle w:val="Compact"/>
            </w:pPr>
          </w:p>
        </w:tc>
      </w:tr>
      <w:tr>
        <w:tc>
          <w:tcPr/>
          <w:p>
            <w:pPr>
              <w:pStyle w:val="Compact"/>
              <w:jc w:val="left"/>
            </w:pPr>
            <w:r>
              <w:t xml:space="preserve">- Downstream Transportation</w:t>
            </w:r>
          </w:p>
        </w:tc>
        <w:tc>
          <w:tcPr/>
          <w:p>
            <w:pPr>
              <w:pStyle w:val="Compact"/>
              <w:jc w:val="left"/>
            </w:pPr>
            <w:r>
              <w:t xml:space="preserve">0.11</w:t>
            </w:r>
          </w:p>
        </w:tc>
        <w:tc>
          <w:tcPr/>
          <w:p>
            <w:pPr>
              <w:pStyle w:val="Compact"/>
              <w:jc w:val="left"/>
            </w:pPr>
            <w:r>
              <w:t xml:space="preserve">0.6%</w:t>
            </w:r>
          </w:p>
        </w:tc>
      </w:tr>
      <w:tr>
        <w:tc>
          <w:tcPr/>
          <w:p>
            <w:pPr>
              <w:pStyle w:val="Compact"/>
              <w:jc w:val="left"/>
            </w:pPr>
            <w:r>
              <w:t xml:space="preserve">- Use of Sold Products</w:t>
            </w:r>
          </w:p>
        </w:tc>
        <w:tc>
          <w:tcPr/>
          <w:p>
            <w:pPr>
              <w:pStyle w:val="Compact"/>
              <w:jc w:val="left"/>
            </w:pPr>
            <w:r>
              <w:t xml:space="preserve">7.50</w:t>
            </w:r>
          </w:p>
        </w:tc>
        <w:tc>
          <w:tcPr/>
          <w:p>
            <w:pPr>
              <w:pStyle w:val="Compact"/>
              <w:jc w:val="left"/>
            </w:pPr>
            <w:r>
              <w:t xml:space="preserve">42.9%</w:t>
            </w:r>
          </w:p>
        </w:tc>
      </w:tr>
      <w:tr>
        <w:tc>
          <w:tcPr/>
          <w:p>
            <w:pPr>
              <w:pStyle w:val="Compact"/>
              <w:jc w:val="left"/>
            </w:pPr>
            <w:r>
              <w:t xml:space="preserve">- End-of-Life Treatment</w:t>
            </w:r>
          </w:p>
        </w:tc>
        <w:tc>
          <w:tcPr/>
          <w:p>
            <w:pPr>
              <w:pStyle w:val="Compact"/>
              <w:jc w:val="left"/>
            </w:pPr>
            <w:r>
              <w:t xml:space="preserve">0.324</w:t>
            </w:r>
          </w:p>
        </w:tc>
        <w:tc>
          <w:tcPr/>
          <w:p>
            <w:pPr>
              <w:pStyle w:val="Compact"/>
              <w:jc w:val="left"/>
            </w:pPr>
            <w:r>
              <w:t xml:space="preserve">1.8%</w:t>
            </w:r>
          </w:p>
        </w:tc>
      </w:tr>
      <w:tr>
        <w:tc>
          <w:tcPr/>
          <w:p>
            <w:pPr>
              <w:pStyle w:val="Compact"/>
              <w:jc w:val="left"/>
            </w:pPr>
            <w:r>
              <w:rPr>
                <w:bCs/>
                <w:b/>
              </w:rPr>
              <w:t xml:space="preserve">TOTAL PCF (Illustrative)</w:t>
            </w:r>
          </w:p>
        </w:tc>
        <w:tc>
          <w:tcPr/>
          <w:p>
            <w:pPr>
              <w:pStyle w:val="Compact"/>
              <w:jc w:val="left"/>
            </w:pPr>
            <w:r>
              <w:rPr>
                <w:bCs/>
                <w:b/>
              </w:rPr>
              <w:t xml:space="preserve">17.559</w:t>
            </w:r>
          </w:p>
        </w:tc>
        <w:tc>
          <w:tcPr/>
          <w:p>
            <w:pPr>
              <w:pStyle w:val="Compact"/>
              <w:jc w:val="left"/>
            </w:pPr>
            <w:r>
              <w:rPr>
                <w:bCs/>
                <w:b/>
              </w:rPr>
              <w:t xml:space="preserve">100.0%</w:t>
            </w:r>
          </w:p>
        </w:tc>
      </w:tr>
    </w:tbl>
    <w:p>
      <w:pPr>
        <w:pStyle w:val="BodyText"/>
      </w:pPr>
      <w:r>
        <w:rPr>
          <w:iCs/>
          <w:i/>
        </w:rPr>
        <w:t xml:space="preserve">These calculations are based on the illustrative data provided as placeholders. Actual values for the defined parameters (BOM, transport, energy, lifespan, recyclability) would be required for a precise PCF.</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iysuoggret</w:t>
      </w:r>
      <w:r>
        <w:t xml:space="preserve"> </w:t>
      </w:r>
      <w:r>
        <w:t xml:space="preserve">are:</w:t>
      </w:r>
    </w:p>
    <w:p>
      <w:pPr>
        <w:numPr>
          <w:ilvl w:val="0"/>
          <w:numId w:val="1018"/>
        </w:numPr>
        <w:pStyle w:val="Compact"/>
      </w:pPr>
      <w:r>
        <w:rPr>
          <w:bCs/>
          <w:b/>
        </w:rPr>
        <w:t xml:space="preserve">Purchased Goods and Services (Materials):</w:t>
      </w:r>
      <w:r>
        <w:t xml:space="preserve"> </w:t>
      </w:r>
      <w:r>
        <w:t xml:space="preserve">Accounting for approximately 42.5% of the total PCF, the raw material acquisition and processing phase represents a significant impact. This highlights the importance of material selection and supply chain transparency.</w:t>
      </w:r>
    </w:p>
    <w:p>
      <w:pPr>
        <w:numPr>
          <w:ilvl w:val="0"/>
          <w:numId w:val="1018"/>
        </w:numPr>
        <w:pStyle w:val="Compact"/>
      </w:pPr>
      <w:r>
        <w:rPr>
          <w:bCs/>
          <w:b/>
        </w:rPr>
        <w:t xml:space="preserve">Use of Sold Products:</w:t>
      </w:r>
      <w:r>
        <w:t xml:space="preserve"> </w:t>
      </w:r>
      <w:r>
        <w:t xml:space="preserve">Contributing about 42.9% to the total PCF, the energy consumption during the product\'s operational lifespan is another major hotspot. This suggests opportunities for improving energy efficiency of the product in use.</w:t>
      </w:r>
    </w:p>
    <w:p>
      <w:pPr>
        <w:numPr>
          <w:ilvl w:val="0"/>
          <w:numId w:val="1018"/>
        </w:numPr>
        <w:pStyle w:val="Compact"/>
      </w:pPr>
      <w:r>
        <w:rPr>
          <w:bCs/>
          <w:b/>
        </w:rPr>
        <w:t xml:space="preserve">Manufacturing (Scope 2):</w:t>
      </w:r>
      <w:r>
        <w:t xml:space="preserve"> </w:t>
      </w:r>
      <w:r>
        <w:t xml:space="preserve">Purchased electricity for manufacturing in China accounts for approximately 12.0%, indicating that transitioning to renewable energy sources in production facilities can yield substantial reductions.</w:t>
      </w:r>
    </w:p>
    <w:bookmarkEnd w:id="40"/>
    <w:bookmarkStart w:id="41" w:name="data-reliability"/>
    <w:p>
      <w:pPr>
        <w:pStyle w:val="Heading3"/>
      </w:pPr>
      <w:r>
        <w:t xml:space="preserve">5.2. Data Reliability</w:t>
      </w:r>
    </w:p>
    <w:p>
      <w:pPr>
        <w:pStyle w:val="FirstParagraph"/>
      </w:pPr>
      <w:r>
        <w:t xml:space="preserve">The reliability of this PCF analysis is contingent on the accuracy and completeness of the input data. While the methodology adheres to GHG Protocol standards, the quantitative results in this report are based on illustrative example data for key parameters. For a final, auditable report, primary data should be collected from all relevant suppliers and internal operations. Secondary data from established databases like Ecoinvent and DEFRA have been used for generic processes and emission factors, providing a reasonable approximation where primary data is unavailable.</w:t>
      </w:r>
    </w:p>
    <w:bookmarkEnd w:id="41"/>
    <w:bookmarkStart w:id="42" w:name="recommendations-for-reduction"/>
    <w:p>
      <w:pPr>
        <w:pStyle w:val="Heading3"/>
      </w:pPr>
      <w:r>
        <w:t xml:space="preserve">5.3. Recommendations for Reduction</w:t>
      </w:r>
    </w:p>
    <w:p>
      <w:pPr>
        <w:numPr>
          <w:ilvl w:val="0"/>
          <w:numId w:val="1019"/>
        </w:numPr>
        <w:pStyle w:val="Compact"/>
      </w:pPr>
      <w:r>
        <w:rPr>
          <w:bCs/>
          <w:b/>
        </w:rPr>
        <w:t xml:space="preserve">Material Optimization:</w:t>
      </w:r>
      <w:r>
        <w:t xml:space="preserve"> </w:t>
      </w:r>
      <w:r>
        <w:t xml:space="preserve">Investigate opportunities to use lower-carbon materials, increase recycled content, or design for lighter weight components in the Bill of Materials (sxfrjfle).</w:t>
      </w:r>
    </w:p>
    <w:p>
      <w:pPr>
        <w:numPr>
          <w:ilvl w:val="0"/>
          <w:numId w:val="1019"/>
        </w:numPr>
        <w:pStyle w:val="Compact"/>
      </w:pPr>
      <w:r>
        <w:rPr>
          <w:bCs/>
          <w:b/>
        </w:rPr>
        <w:t xml:space="preserve">Manufacturing Decarbonization:</w:t>
      </w:r>
      <w:r>
        <w:t xml:space="preserve"> </w:t>
      </w:r>
      <w:r>
        <w:t xml:space="preserve">Accelerate the transition to 100% renewable energy for production facilities in China, aligning with company-wide sustainability goals.</w:t>
      </w:r>
    </w:p>
    <w:p>
      <w:pPr>
        <w:numPr>
          <w:ilvl w:val="0"/>
          <w:numId w:val="1019"/>
        </w:numPr>
        <w:pStyle w:val="Compact"/>
      </w:pPr>
      <w:r>
        <w:rPr>
          <w:bCs/>
          <w:b/>
        </w:rPr>
        <w:t xml:space="preserve">Product Energy Efficiency:</w:t>
      </w:r>
      <w:r>
        <w:t xml:space="preserve"> </w:t>
      </w:r>
      <w:r>
        <w:t xml:space="preserve">Implement design improvements to reduce energy consumption during the product\'s use phase (svitxweyve).</w:t>
      </w:r>
    </w:p>
    <w:p>
      <w:pPr>
        <w:numPr>
          <w:ilvl w:val="0"/>
          <w:numId w:val="1019"/>
        </w:numPr>
        <w:pStyle w:val="Compact"/>
      </w:pPr>
      <w:r>
        <w:rPr>
          <w:bCs/>
          <w:b/>
        </w:rPr>
        <w:t xml:space="preserve">Circular Economy Integration:</w:t>
      </w:r>
      <w:r>
        <w:t xml:space="preserve"> </w:t>
      </w:r>
      <w:r>
        <w:t xml:space="preserve">Expand and optimize circular/take-back programs (orqulgqfxy) to increase the recyclability percentage (tqiphtzwjl) and explore refurbishment or reuse models.</w:t>
      </w:r>
    </w:p>
    <w:p>
      <w:pPr>
        <w:numPr>
          <w:ilvl w:val="0"/>
          <w:numId w:val="1019"/>
        </w:numPr>
        <w:pStyle w:val="Compact"/>
      </w:pPr>
      <w:r>
        <w:rPr>
          <w:bCs/>
          <w:b/>
        </w:rPr>
        <w:t xml:space="preserve">Logistics Optimization:</w:t>
      </w:r>
      <w:r>
        <w:t xml:space="preserve"> </w:t>
      </w:r>
      <w:r>
        <w:t xml:space="preserve">Optimize transportation routes, consider modal shifts to lower-emission options (e.g., rail over road where feasible in Europe), and maximize load factors to reduce transport emissions.</w:t>
      </w:r>
    </w:p>
    <w:p>
      <w:r>
        <w:pict>
          <v:rect style="width:0;height:1.5pt" o:hralign="center" o:hrstd="t" o:hr="t"/>
        </w:pict>
      </w:r>
    </w:p>
    <w:bookmarkEnd w:id="42"/>
    <w:bookmarkEnd w:id="43"/>
    <w:bookmarkStart w:id="44" w:name="ghg-protocol-scopes-summary"/>
    <w:p>
      <w:pPr>
        <w:pStyle w:val="Heading2"/>
      </w:pPr>
      <w:r>
        <w:t xml:space="preserve">GHG Protocol Scopes Summary</w:t>
      </w:r>
    </w:p>
    <w:p>
      <w:pPr>
        <w:pStyle w:val="FirstParagraph"/>
      </w:pPr>
      <w:r>
        <w:t xml:space="preserve">The GHG Protocol categorizes emissions into three scopes to provide a comprehensive view of an organization\'s carbon footprint.</w:t>
      </w:r>
    </w:p>
    <w:p>
      <w:pPr>
        <w:numPr>
          <w:ilvl w:val="0"/>
          <w:numId w:val="1020"/>
        </w:numPr>
        <w:pStyle w:val="Compact"/>
      </w:pPr>
      <w:r>
        <w:rPr>
          <w:bCs/>
          <w:b/>
        </w:rPr>
        <w:t xml:space="preserve">Scope 1: Direct GHG Emissions</w:t>
      </w:r>
      <w:r>
        <w:t xml:space="preserve"> </w:t>
      </w:r>
      <w:r>
        <w:t xml:space="preserve">– Emissions from sources owned or controlled by ptutlhxsyx (e.g., company vehicles, on-site fuel combustion). In this illustrative PCF, Scope 1 emissions for manufacturing were assumed to be negligible.</w:t>
      </w:r>
    </w:p>
    <w:p>
      <w:pPr>
        <w:numPr>
          <w:ilvl w:val="0"/>
          <w:numId w:val="1020"/>
        </w:numPr>
        <w:pStyle w:val="Compact"/>
      </w:pPr>
      <w:r>
        <w:rPr>
          <w:bCs/>
          <w:b/>
        </w:rPr>
        <w:t xml:space="preserve">Scope 2: Indirect GHG Emissions from Purchased Energy</w:t>
      </w:r>
      <w:r>
        <w:t xml:space="preserve"> </w:t>
      </w:r>
      <w:r>
        <w:t xml:space="preserve">– Emissions from the generation of purchased electricity, steam, heat, or cooling consumed by ptutlhxsyx\'s manufacturing operations. This accounts for 2.1 kg CO₂e in the illustrative scenario.</w:t>
      </w:r>
    </w:p>
    <w:p>
      <w:pPr>
        <w:numPr>
          <w:ilvl w:val="0"/>
          <w:numId w:val="1020"/>
        </w:numPr>
        <w:pStyle w:val="Compact"/>
      </w:pPr>
      <w:r>
        <w:rPr>
          <w:bCs/>
          <w:b/>
        </w:rPr>
        <w:t xml:space="preserve">Scope 3: Other Indirect GHG Emissions</w:t>
      </w:r>
      <w:r>
        <w:t xml:space="preserve"> </w:t>
      </w:r>
      <w:r>
        <w:t xml:space="preserve">– All other indirect emissions occurring in the value chain of ptutlhxsyx, both upstream and downstream. This includes raw materials, transport, use of sold products, and end-of-life treatment, representing the largest portion of the product\'s footprint in this analysis.</w:t>
      </w:r>
    </w:p>
    <w:p>
      <w:r>
        <w:pict>
          <v:rect style="width:0;height:1.5pt" o:hralign="center" o:hrstd="t" o:hr="t"/>
        </w:pict>
      </w:r>
    </w:p>
    <w:bookmarkEnd w:id="44"/>
    <w:bookmarkStart w:id="45" w:name="X7ef73fe3d39a8d84fae696b42f814aa0d860ec0"/>
    <w:p>
      <w:pPr>
        <w:pStyle w:val="Heading2"/>
      </w:pPr>
      <w:r>
        <w:t xml:space="preserve">2026 LSR Update: Land Sector and Removals Standard</w:t>
      </w:r>
    </w:p>
    <w:p>
      <w:pPr>
        <w:pStyle w:val="FirstParagraph"/>
      </w:pPr>
      <w:r>
        <w:t xml:space="preserve">The GHG Protocol released version 1.0 of the Land Sector and Removals (LSR) Standard on January 30, 2026, which takes effect on January 1, 2027. This standard provides critical requirements and guidance for accounting for land sector emissions (e.g., land use change, land management, biogenic products) and CO₂ removals. While the illustrative example BOM primarily focuses on industrial materials, for products with significant biogenic content or land-intensive raw materials (e.g., agricultural products, wood-based components), this standard would necessitate detailed accounting for emissions and removals from land use change, land management, and biogenic carbon flows throughout the product lifecycle. The accompanying guidance document is expected in Q2 2026, which will offer more practical direction for implementing the standard. For iysuoggret, the LSR Standard would be particularly relevant if any of its raw materials or packaging originated from land-intensive sources with associated land use change or biogenic carbon considerations. For instance, the cardboard packaging\'s biogenic carbon uptake and end-of-life emissions would be assessed under this standard, accounting for removals where applicable and avoiding double-counting with other scopes.</w:t>
      </w:r>
    </w:p>
    <w:p>
      <w:r>
        <w:pict>
          <v:rect style="width:0;height:1.5pt" o:hralign="center" o:hrstd="t" o:hr="t"/>
        </w:pict>
      </w:r>
    </w:p>
    <w:bookmarkEnd w:id="45"/>
    <w:bookmarkStart w:id="47" w:name="scope-3-compliance"/>
    <w:p>
      <w:pPr>
        <w:pStyle w:val="Heading2"/>
      </w:pPr>
      <w:r>
        <w:t xml:space="preserve">Scope 3 Compliance</w:t>
      </w:r>
    </w:p>
    <w:p>
      <w:pPr>
        <w:pStyle w:val="FirstParagraph"/>
      </w:pPr>
      <w:r>
        <w:t xml:space="preserve">As per 2026 requirements, this PCF analysis ensures at least 95% coverage for Scope 3 reporting. The comprehensive approach, including detailed material impacts, all relevant transportation legs, use-phase energy, and end-of-life scenarios, aims to capture the vast majority of value chain emissions. The illustrative breakdown shows a substantial portion of the PCF falling under Scope 3 categories, highlighting the importance of granular data collection across the value chain to meet this compliance target.</w:t>
      </w:r>
    </w:p>
    <w:p>
      <w:pPr>
        <w:pStyle w:val="BodyText"/>
      </w:pPr>
      <w:r>
        <w:t xml:space="preserve">Confidential - Internal Use Only | Page</w:t>
      </w:r>
      <w:r>
        <w:t xml:space="preserve"> </w:t>
      </w:r>
      <w:bookmarkStart w:id="46" w:name="pageNumbe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iysuoggret</dc:title>
  <dc:creator/>
  <dc:description>A high-detail Product Carbon Footprint (PCF) analysis for iysuoggret by Senior Sustainability Consultant mirosrfgmz, specializing in GHG Protocol. This report quantifies emissions across the product lifecycle, incorporating material impacts, logistics, energy usage, product lifespan, recyclability, and circular programs.</dc:description>
  <dc:language>en</dc:language>
  <cp:keywords/>
  <dcterms:created xsi:type="dcterms:W3CDTF">2026-07-15T18:37:07Z</dcterms:created>
  <dcterms:modified xsi:type="dcterms:W3CDTF">2026-07-15T18:37:07Z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