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iypltklmvg</w:t>
      </w:r>
      <w:r>
        <w:t xml:space="preserve"> </w:t>
      </w:r>
      <w:r>
        <w:t xml:space="preserve">-</w:t>
      </w:r>
      <w:r>
        <w:t xml:space="preserve"> </w:t>
      </w:r>
      <w:r>
        <w:t xml:space="preserve">xxtznotgjt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iypltklmvg</w:t>
      </w:r>
    </w:p>
    <w:p>
      <w:pPr>
        <w:pStyle w:val="BodyText"/>
      </w:pPr>
      <w:r>
        <w:t xml:space="preserve">Company:</w:t>
      </w:r>
      <w:r>
        <w:t xml:space="preserve"> </w:t>
      </w:r>
      <w:r>
        <w:rPr>
          <w:bCs/>
          <w:b/>
        </w:rPr>
        <w:t xml:space="preserve">xxtznotgjt</w:t>
      </w:r>
    </w:p>
    <w:p>
      <w:pPr>
        <w:pStyle w:val="BodyText"/>
      </w:pPr>
      <w:r>
        <w:t xml:space="preserve">Senior Sustainability Consultant:</w:t>
      </w:r>
      <w:r>
        <w:t xml:space="preserve"> </w:t>
      </w:r>
      <w:r>
        <w:rPr>
          <w:bCs/>
          <w:b/>
        </w:rPr>
        <w:t xml:space="preserve">wtlhnjvfrl</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All quantitative results, particularly emission factors and activity data, are illustrative for demonstration purposes where specific input values were provided as placeholders.</w:t>
      </w:r>
    </w:p>
    <w:bookmarkEnd w:id="20"/>
    <w:p>
      <w:pPr>
        <w:pStyle w:val="BodyText"/>
      </w:pPr>
      <w:r>
        <w:t xml:space="preserve">Generated Date: May 27,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iypltklmvg</w:t>
      </w:r>
      <w:r>
        <w:t xml:space="preserve">, commissioned by</w:t>
      </w:r>
      <w:r>
        <w:t xml:space="preserve"> </w:t>
      </w:r>
      <w:r>
        <w:rPr>
          <w:bCs/>
          <w:b/>
        </w:rPr>
        <w:t xml:space="preserve">xxtznotgjt</w:t>
      </w:r>
      <w:r>
        <w:t xml:space="preserve">. The analysis was conducted by Senior Sustainability Consultant</w:t>
      </w:r>
      <w:r>
        <w:t xml:space="preserve"> </w:t>
      </w:r>
      <w:r>
        <w:rPr>
          <w:bCs/>
          <w:b/>
        </w:rPr>
        <w:t xml:space="preserve">wtlhnjvfrl</w:t>
      </w:r>
      <w:r>
        <w:t xml:space="preserve">, adhering strictly to the Greenhouse Gas (GHG) Protocol, including the recent 2026 Land Sector and Removals (LSR) Standard update. The assessment covers the entire lifecycle of the product, from raw material extraction to end-of-life, with a focus on comprehensive Scope 3 reporting.</w:t>
      </w:r>
    </w:p>
    <w:p>
      <w:pPr>
        <w:pStyle w:val="BodyText"/>
      </w:pPr>
      <w:r>
        <w:t xml:space="preserve">The primary objective is to quantify the greenhouse gas emissions associated with each lifecycle stage of</w:t>
      </w:r>
      <w:r>
        <w:t xml:space="preserve"> </w:t>
      </w:r>
      <w:r>
        <w:rPr>
          <w:bCs/>
          <w:b/>
        </w:rPr>
        <w:t xml:space="preserve">iypltklmvg</w:t>
      </w:r>
      <w:r>
        <w:t xml:space="preserve">, identify emission hotspots, and provide a foundation for targeted decarbonization strategies. This report aims for at least 95% coverage for Scope 3 emissions, reflecting current best practices and 2026 requirements for robust value chain accounting.</w:t>
      </w:r>
    </w:p>
    <w:p>
      <w:r>
        <w:pict>
          <v:rect style="width:0;height:1.5pt" o:hralign="center" o:hrstd="t" o:hr="t"/>
        </w:pict>
      </w:r>
    </w:p>
    <w:bookmarkEnd w:id="21"/>
    <w:bookmarkStart w:id="23" w:name="methodology"/>
    <w:p>
      <w:pPr>
        <w:pStyle w:val="Heading1"/>
      </w:pPr>
      <w:r>
        <w:t xml:space="preserve">1. Methodology</w:t>
      </w:r>
    </w:p>
    <w:p>
      <w:pPr>
        <w:pStyle w:val="FirstParagraph"/>
      </w:pPr>
      <w:r>
        <w:t xml:space="preserve">The Product Carbon Footprint (PCF) analysis for</w:t>
      </w:r>
      <w:r>
        <w:t xml:space="preserve"> </w:t>
      </w:r>
      <w:r>
        <w:rPr>
          <w:bCs/>
          <w:b/>
        </w:rPr>
        <w:t xml:space="preserve">iypltklmvg</w:t>
      </w:r>
      <w:r>
        <w:t xml:space="preserve"> </w:t>
      </w:r>
      <w:r>
        <w:t xml:space="preserve">follows the internationally recognized GHG Protocol methodology. This involves a systematic five-step approach to ensure accuracy, transparency, and comparability of results: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lifecycle inventory stages.</w:t>
      </w:r>
    </w:p>
    <w:p>
      <w:pPr>
        <w:numPr>
          <w:ilvl w:val="0"/>
          <w:numId w:val="1001"/>
        </w:numPr>
        <w:pStyle w:val="Compact"/>
      </w:pPr>
      <w:r>
        <w:rPr>
          <w:bCs/>
          <w:b/>
        </w:rPr>
        <w:t xml:space="preserve">Collect Data:</w:t>
      </w:r>
      <w:r>
        <w:t xml:space="preserve"> </w:t>
      </w:r>
      <w:r>
        <w:t xml:space="preserve">Gathering of primary and secondary data points for each identified stage.</w:t>
      </w:r>
    </w:p>
    <w:p>
      <w:pPr>
        <w:numPr>
          <w:ilvl w:val="0"/>
          <w:numId w:val="1001"/>
        </w:numPr>
        <w:pStyle w:val="Compact"/>
      </w:pPr>
      <w:r>
        <w:rPr>
          <w:bCs/>
          <w:b/>
        </w:rPr>
        <w:t xml:space="preserve">Calculate Emissions:</w:t>
      </w:r>
      <w:r>
        <w:t xml:space="preserve"> </w:t>
      </w:r>
      <w:r>
        <w:t xml:space="preserve">Quantification of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final reporting.</w:t>
      </w:r>
    </w:p>
    <w:p>
      <w:pPr>
        <w:pStyle w:val="FirstParagraph"/>
      </w:pPr>
      <w:r>
        <w:t xml:space="preserve">Emissions are categorized into Scope 1 (direct emissions), Scope 2 (indirect emissions from purchased energy), and Scope 3 (all other indirect emissions across the value chain) as per the GHG Protocol. Special attention has been paid to achieving at least 95% coverage for Scope 3 emissions, in line with 2026 requirements, recognizing that Scope 3 often accounts for the majority of a company\'s total carbon footprint.</w:t>
      </w:r>
    </w:p>
    <w:p>
      <w:pPr>
        <w:pStyle w:val="BodyText"/>
      </w:pPr>
      <w:r>
        <w:t xml:space="preserve">The 2026 Land Sector and Removals (LSR) Standard, effective January 1, 2027, has been considered in this analysis, particularly in its implications for land use and carbon removals within the value chain. While specific land-use data for individual components of</w:t>
      </w:r>
      <w:r>
        <w:t xml:space="preserve"> </w:t>
      </w:r>
      <w:r>
        <w:rPr>
          <w:bCs/>
          <w:b/>
        </w:rPr>
        <w:t xml:space="preserve">iypltklmvg</w:t>
      </w:r>
      <w:r>
        <w:t xml:space="preserve"> </w:t>
      </w:r>
      <w:r>
        <w:t xml:space="preserve">were not provided, the framework for assessing land occupation and carbon leakage, as required by the LSR Standard, is acknowledged for future, more granular assessments.</w:t>
      </w:r>
    </w:p>
    <w:bookmarkStart w:id="22" w:name="defined-scope"/>
    <w:p>
      <w:pPr>
        <w:pStyle w:val="Heading2"/>
      </w:pPr>
      <w:r>
        <w:t xml:space="preserve">1.1. Defined Scope</w:t>
      </w:r>
    </w:p>
    <w:p>
      <w:pPr>
        <w:numPr>
          <w:ilvl w:val="0"/>
          <w:numId w:val="1002"/>
        </w:numPr>
        <w:pStyle w:val="Compact"/>
      </w:pPr>
      <w:r>
        <w:rPr>
          <w:bCs/>
          <w:b/>
        </w:rPr>
        <w:t xml:space="preserve">Functional Unit:</w:t>
      </w:r>
      <w:r>
        <w:t xml:space="preserve"> </w:t>
      </w:r>
      <w:r>
        <w:t xml:space="preserve">1.0 unit of</w:t>
      </w:r>
      <w:r>
        <w:t xml:space="preserve"> </w:t>
      </w:r>
      <w:r>
        <w:rPr>
          <w:bCs/>
          <w:b/>
        </w:rPr>
        <w:t xml:space="preserve">iypltklmvg</w:t>
      </w:r>
    </w:p>
    <w:p>
      <w:pPr>
        <w:numPr>
          <w:ilvl w:val="0"/>
          <w:numId w:val="1002"/>
        </w:numPr>
        <w:pStyle w:val="Compact"/>
      </w:pPr>
      <w:r>
        <w:rPr>
          <w:bCs/>
          <w:b/>
        </w:rPr>
        <w:t xml:space="preserve">System Boundary:</w:t>
      </w:r>
      <w:r>
        <w:t xml:space="preserve"> </w:t>
      </w:r>
      <w:r>
        <w:t xml:space="preserve">While the primary focus for production emissions is "factory_gate" (cradle-to-gate), the comprehensive analysis extends to a cradle-to-grave perspective to incorporate all provided parameters, including transportation, use-phase, and end-of-life scenarios. This ensures a holistic view of the product\'s environmental impact throughout its entire lifecycle.</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(for distribution and use phase)</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For shared processes, allocation is performed based on physical parameters such as mass or energy consumption.</w:t>
      </w:r>
    </w:p>
    <w:p>
      <w:r>
        <w:pict>
          <v:rect style="width:0;height:1.5pt" o:hralign="center" o:hrstd="t" o:hr="t"/>
        </w:pict>
      </w:r>
    </w:p>
    <w:bookmarkEnd w:id="22"/>
    <w:bookmarkEnd w:id="23"/>
    <w:bookmarkStart w:id="31" w:name="lifecycle-mapping-and-data-collection"/>
    <w:p>
      <w:pPr>
        <w:pStyle w:val="Heading1"/>
      </w:pPr>
      <w:r>
        <w:t xml:space="preserve">2. Lifecycle Mapping and Data Collection</w:t>
      </w:r>
    </w:p>
    <w:p>
      <w:pPr>
        <w:pStyle w:val="FirstParagraph"/>
      </w:pPr>
      <w:r>
        <w:t xml:space="preserve">This section details the various lifecycle stages considered in the PCF for</w:t>
      </w:r>
      <w:r>
        <w:t xml:space="preserve"> </w:t>
      </w:r>
      <w:r>
        <w:rPr>
          <w:bCs/>
          <w:b/>
        </w:rPr>
        <w:t xml:space="preserve">iypltklmvg</w:t>
      </w:r>
      <w:r>
        <w:t xml:space="preserve"> </w:t>
      </w:r>
      <w:r>
        <w:t xml:space="preserve">and outlines the data collection approach, utilizing both specific input parameters and illustrative industry-average data where placeholders were provided.</w:t>
      </w:r>
    </w:p>
    <w:bookmarkStart w:id="24" w:name="Xe6145f7dca6e101940a451f6ebfce8ee232d4f9"/>
    <w:p>
      <w:pPr>
        <w:pStyle w:val="Heading2"/>
      </w:pPr>
      <w:r>
        <w:t xml:space="preserve">2.1. Bill of Materials (BOM) Analysis - Raw Materials (Scope 3, Category 1)</w:t>
      </w:r>
    </w:p>
    <w:p>
      <w:pPr>
        <w:pStyle w:val="FirstParagraph"/>
      </w:pPr>
      <w:r>
        <w:t xml:space="preserve">The detailed Bill of Materials (BOM) for</w:t>
      </w:r>
      <w:r>
        <w:t xml:space="preserve"> </w:t>
      </w:r>
      <w:r>
        <w:rPr>
          <w:bCs/>
          <w:b/>
        </w:rPr>
        <w:t xml:space="preserve">iypltklmvg</w:t>
      </w:r>
      <w:r>
        <w:t xml:space="preserve">, though provided as a placeholder \'tygkmsox\', is interpreted here with illustrative data that adheres to the specified format: ID, Description, Category, Process, Qty, Unit, Emission Factor, Total Carbon. These values are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0.35</w:t>
            </w:r>
          </w:p>
        </w:tc>
        <w:tc>
          <w:tcPr/>
          <w:p>
            <w:pPr>
              <w:pStyle w:val="Compact"/>
              <w:jc w:val="left"/>
            </w:pPr>
            <w:r>
              <w:t xml:space="preserve">kg</w:t>
            </w:r>
          </w:p>
        </w:tc>
        <w:tc>
          <w:tcPr/>
          <w:p>
            <w:pPr>
              <w:pStyle w:val="Compact"/>
              <w:jc w:val="left"/>
            </w:pPr>
            <w:r>
              <w:t xml:space="preserve">8.5</w:t>
            </w:r>
          </w:p>
        </w:tc>
        <w:tc>
          <w:tcPr/>
          <w:p>
            <w:pPr>
              <w:pStyle w:val="Compact"/>
              <w:jc w:val="left"/>
            </w:pPr>
            <w:r>
              <w:t xml:space="preserve">2.975</w:t>
            </w:r>
          </w:p>
        </w:tc>
      </w:tr>
      <w:tr>
        <w:tc>
          <w:tcPr/>
          <w:p>
            <w:pPr>
              <w:pStyle w:val="Compact"/>
              <w:jc w:val="left"/>
            </w:pPr>
            <w:r>
              <w:t xml:space="preserve">MAT-002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0.46875</w:t>
            </w:r>
          </w:p>
        </w:tc>
      </w:tr>
      <w:tr>
        <w:tc>
          <w:tcPr/>
          <w:p>
            <w:pPr>
              <w:pStyle w:val="Compact"/>
              <w:jc w:val="left"/>
            </w:pPr>
            <w:r>
              <w:t xml:space="preserve">MAT-003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MAT-004</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MAT-005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7"/>
          </w:tcPr>
          <w:p>
            <w:pPr>
              <w:pStyle w:val="Compact"/>
              <w:jc w:val="right"/>
            </w:pPr>
            <w:r>
              <w:rPr>
                <w:bCs/>
                <w:b/>
              </w:rPr>
              <w:t xml:space="preserve">Total Material Impact:</w:t>
            </w:r>
          </w:p>
        </w:tc>
        <w:tc>
          <w:tcPr/>
          <w:p>
            <w:pPr>
              <w:pStyle w:val="Compact"/>
              <w:jc w:val="left"/>
            </w:pPr>
            <w:r>
              <w:rPr>
                <w:bCs/>
                <w:b/>
              </w:rPr>
              <w:t xml:space="preserve">6.07375</w:t>
            </w:r>
          </w:p>
        </w:tc>
      </w:tr>
    </w:tbl>
    <w:p>
      <w:pPr>
        <w:pStyle w:val="BodyText"/>
      </w:pPr>
      <w:r>
        <w:rPr>
          <w:iCs/>
          <w:i/>
        </w:rPr>
        <w:t xml:space="preserve">Note: Emission factors for Aluminum Extrusion are illustrative, as specific Ecoinvent data is often proprietary. The ABS plastic factor is an industry average.</w:t>
      </w:r>
    </w:p>
    <w:bookmarkEnd w:id="24"/>
    <w:bookmarkStart w:id="25" w:name="production-phase-energy-scope-2"/>
    <w:p>
      <w:pPr>
        <w:pStyle w:val="Heading2"/>
      </w:pPr>
      <w:r>
        <w:t xml:space="preserve">2.2. Production Phase Energy (Scope 2)</w:t>
      </w:r>
    </w:p>
    <w:p>
      <w:pPr>
        <w:pStyle w:val="FirstParagraph"/>
      </w:pPr>
      <w:r>
        <w:t xml:space="preserve">Energy consumption during the manufacturing of</w:t>
      </w:r>
      <w:r>
        <w:t xml:space="preserve"> </w:t>
      </w:r>
      <w:r>
        <w:rPr>
          <w:bCs/>
          <w:b/>
        </w:rPr>
        <w:t xml:space="preserve">iypltklmvg</w:t>
      </w:r>
      <w:r>
        <w:t xml:space="preserve"> </w:t>
      </w:r>
      <w:r>
        <w:t xml:space="preserve">is a critical factor. The following illustrative data was used:</w:t>
      </w:r>
    </w:p>
    <w:p>
      <w:pPr>
        <w:numPr>
          <w:ilvl w:val="0"/>
          <w:numId w:val="1004"/>
        </w:numPr>
        <w:pStyle w:val="Compact"/>
      </w:pPr>
      <w:r>
        <w:rPr>
          <w:bCs/>
          <w:b/>
        </w:rPr>
        <w:t xml:space="preserve">Energy Intensity (kWh/unit):</w:t>
      </w:r>
      <w:r>
        <w:t xml:space="preserve"> </w:t>
      </w:r>
      <w:r>
        <w:t xml:space="preserve">eizgllmvye (Illustrative: 12 kWh/unit)</w:t>
      </w:r>
    </w:p>
    <w:p>
      <w:pPr>
        <w:numPr>
          <w:ilvl w:val="0"/>
          <w:numId w:val="1004"/>
        </w:numPr>
        <w:pStyle w:val="Compact"/>
      </w:pPr>
      <w:r>
        <w:rPr>
          <w:bCs/>
          <w:b/>
        </w:rPr>
        <w:t xml:space="preserve">Renewable Energy Usage:</w:t>
      </w:r>
      <w:r>
        <w:t xml:space="preserve"> </w:t>
      </w:r>
      <w:r>
        <w:t xml:space="preserve">dyqzyyyfsn (Illustrative: 60% renewable electricity purchased)</w:t>
      </w:r>
    </w:p>
    <w:p>
      <w:pPr>
        <w:numPr>
          <w:ilvl w:val="0"/>
          <w:numId w:val="1004"/>
        </w:numPr>
        <w:pStyle w:val="Compact"/>
      </w:pPr>
      <w:r>
        <w:rPr>
          <w:bCs/>
          <w:b/>
        </w:rPr>
        <w:t xml:space="preserve">Grid Emission Factor (China, illustrative):</w:t>
      </w:r>
      <w:r>
        <w:t xml:space="preserve"> </w:t>
      </w:r>
      <w:r>
        <w:t xml:space="preserve">0.65 kg CO2e/kWh (industry average for electricity mix in production region)</w:t>
      </w:r>
    </w:p>
    <w:p>
      <w:pPr>
        <w:numPr>
          <w:ilvl w:val="0"/>
          <w:numId w:val="1004"/>
        </w:numPr>
        <w:pStyle w:val="Compact"/>
      </w:pPr>
      <w:r>
        <w:rPr>
          <w:bCs/>
          <w:b/>
        </w:rPr>
        <w:t xml:space="preserve">Renewable Energy Emission Factor:</w:t>
      </w:r>
      <w:r>
        <w:t xml:space="preserve"> </w:t>
      </w:r>
      <w:r>
        <w:t xml:space="preserve">0.0 kg CO2e/kWh (assuming zero-emission source at point of generation)</w:t>
      </w:r>
    </w:p>
    <w:bookmarkEnd w:id="25"/>
    <w:bookmarkStart w:id="28" w:name="X3f2b8d9f60b3d51a97b31315d74123edfe7d175"/>
    <w:p>
      <w:pPr>
        <w:pStyle w:val="Heading2"/>
      </w:pPr>
      <w:r>
        <w:t xml:space="preserve">2.3. Transport Logistics (Scope 3, Categories 4 &amp; 9)</w:t>
      </w:r>
    </w:p>
    <w:p>
      <w:pPr>
        <w:pStyle w:val="FirstParagraph"/>
      </w:pPr>
      <w:r>
        <w:t xml:space="preserve">The logistics impact covers both upstream transportation of components and downstream distribution of the finished product. Illustrative data based on the provided parameters (`Select Mode`, `ltwfqhdvxg`, `Delivery Type`) is as follows:</w:t>
      </w:r>
    </w:p>
    <w:bookmarkStart w:id="26" w:name="Xe25f51aa269222f64af3c9e48cb3f8086abfc26"/>
    <w:p>
      <w:pPr>
        <w:pStyle w:val="Heading3"/>
      </w:pPr>
      <w:r>
        <w:t xml:space="preserve">Upstream &amp; Distribution to Regional Hub (Scope 3, Category 4)</w:t>
      </w:r>
    </w:p>
    <w:p>
      <w:pPr>
        <w:numPr>
          <w:ilvl w:val="0"/>
          <w:numId w:val="1005"/>
        </w:numPr>
        <w:pStyle w:val="Compact"/>
      </w:pPr>
      <w:r>
        <w:rPr>
          <w:bCs/>
          <w:b/>
        </w:rPr>
        <w:t xml:space="preserve">Transport Mode:</w:t>
      </w:r>
      <w:r>
        <w:t xml:space="preserve"> </w:t>
      </w:r>
      <w:r>
        <w:t xml:space="preserve">Predominantly Sea Freight (85%), followed by Road Freight (15%) within Europe.</w:t>
      </w:r>
    </w:p>
    <w:p>
      <w:pPr>
        <w:numPr>
          <w:ilvl w:val="0"/>
          <w:numId w:val="1005"/>
        </w:numPr>
        <w:pStyle w:val="Compact"/>
      </w:pPr>
      <w:r>
        <w:rPr>
          <w:bCs/>
          <w:b/>
        </w:rPr>
        <w:t xml:space="preserve">Transport Distance:</w:t>
      </w:r>
      <w:r>
        <w:t xml:space="preserve"> </w:t>
      </w:r>
      <w:r>
        <w:t xml:space="preserve">ltwfqhdvxg (Illustrative: 15,000 km by sea from China to a major European port, then 800 km by road to a regional distribution center).</w:t>
      </w:r>
    </w:p>
    <w:p>
      <w:pPr>
        <w:numPr>
          <w:ilvl w:val="0"/>
          <w:numId w:val="1005"/>
        </w:numPr>
        <w:pStyle w:val="Compact"/>
      </w:pPr>
      <w:r>
        <w:rPr>
          <w:bCs/>
          <w:b/>
        </w:rPr>
        <w:t xml:space="preserve">Product Weight (with packaging):</w:t>
      </w:r>
      <w:r>
        <w:t xml:space="preserve"> </w:t>
      </w:r>
      <w:r>
        <w:t xml:space="preserve">0.8 kg (0.0008 tonne)</w:t>
      </w:r>
    </w:p>
    <w:p>
      <w:pPr>
        <w:numPr>
          <w:ilvl w:val="0"/>
          <w:numId w:val="1005"/>
        </w:numPr>
        <w:pStyle w:val="Compact"/>
      </w:pPr>
      <w:r>
        <w:rPr>
          <w:bCs/>
          <w:b/>
        </w:rPr>
        <w:t xml:space="preserve">Illustrative Emission Factor Sea Freight:</w:t>
      </w:r>
      <w:r>
        <w:t xml:space="preserve"> </w:t>
      </w:r>
      <w:r>
        <w:t xml:space="preserve">0.010 kg CO2e/tonne-km</w:t>
      </w:r>
    </w:p>
    <w:p>
      <w:pPr>
        <w:numPr>
          <w:ilvl w:val="0"/>
          <w:numId w:val="1005"/>
        </w:numPr>
        <w:pStyle w:val="Compact"/>
      </w:pPr>
      <w:r>
        <w:rPr>
          <w:bCs/>
          <w:b/>
        </w:rPr>
        <w:t xml:space="preserve">Illustrative Emission Factor Road Freight (HGV):</w:t>
      </w:r>
      <w:r>
        <w:t xml:space="preserve"> </w:t>
      </w:r>
      <w:r>
        <w:t xml:space="preserve">0.080 kg CO2e/tonne-km</w:t>
      </w:r>
    </w:p>
    <w:bookmarkEnd w:id="26"/>
    <w:bookmarkStart w:id="27" w:name="last-mile-delivery-scope-3-category-9"/>
    <w:p>
      <w:pPr>
        <w:pStyle w:val="Heading3"/>
      </w:pPr>
      <w:r>
        <w:t xml:space="preserve">Last-Mile Delivery (Scope 3, Category 9)</w:t>
      </w:r>
    </w:p>
    <w:p>
      <w:pPr>
        <w:numPr>
          <w:ilvl w:val="0"/>
          <w:numId w:val="1006"/>
        </w:numPr>
        <w:pStyle w:val="Compact"/>
      </w:pPr>
      <w:r>
        <w:rPr>
          <w:bCs/>
          <w:b/>
        </w:rPr>
        <w:t xml:space="preserve">Last-Mile Delivery Channel:</w:t>
      </w:r>
      <w:r>
        <w:t xml:space="preserve"> </w:t>
      </w:r>
      <w:r>
        <w:t xml:space="preserve">Delivery Type (Illustrative: Standard Parcel Delivery by Light Commercial Vehicle - LCV).</w:t>
      </w:r>
    </w:p>
    <w:p>
      <w:pPr>
        <w:numPr>
          <w:ilvl w:val="0"/>
          <w:numId w:val="1006"/>
        </w:numPr>
        <w:pStyle w:val="Compact"/>
      </w:pPr>
      <w:r>
        <w:rPr>
          <w:bCs/>
          <w:b/>
        </w:rPr>
        <w:t xml:space="preserve">Illustrative Average Last-Mile Distance:</w:t>
      </w:r>
      <w:r>
        <w:t xml:space="preserve"> </w:t>
      </w:r>
      <w:r>
        <w:t xml:space="preserve">75 km</w:t>
      </w:r>
    </w:p>
    <w:p>
      <w:pPr>
        <w:numPr>
          <w:ilvl w:val="0"/>
          <w:numId w:val="1006"/>
        </w:numPr>
        <w:pStyle w:val="Compact"/>
      </w:pPr>
      <w:r>
        <w:rPr>
          <w:bCs/>
          <w:b/>
        </w:rPr>
        <w:t xml:space="preserve">Illustrative Emission Factor LCV:</w:t>
      </w:r>
      <w:r>
        <w:t xml:space="preserve"> </w:t>
      </w:r>
      <w:r>
        <w:t xml:space="preserve">0.15 kg CO2e/km</w:t>
      </w:r>
    </w:p>
    <w:bookmarkEnd w:id="27"/>
    <w:bookmarkEnd w:id="28"/>
    <w:bookmarkStart w:id="29" w:name="use-phase-scope-3-category-11"/>
    <w:p>
      <w:pPr>
        <w:pStyle w:val="Heading2"/>
      </w:pPr>
      <w:r>
        <w:t xml:space="preserve">2.4. Use Phase (Scope 3, Category 11)</w:t>
      </w:r>
    </w:p>
    <w:p>
      <w:pPr>
        <w:pStyle w:val="FirstParagraph"/>
      </w:pPr>
      <w:r>
        <w:t xml:space="preserve">The use phase significantly contributes to the overall PCF, particularly for electronic devices. Illustrative data is used for the following parameters:</w:t>
      </w:r>
    </w:p>
    <w:p>
      <w:pPr>
        <w:numPr>
          <w:ilvl w:val="0"/>
          <w:numId w:val="1007"/>
        </w:numPr>
        <w:pStyle w:val="Compact"/>
      </w:pPr>
      <w:r>
        <w:rPr>
          <w:bCs/>
          <w:b/>
        </w:rPr>
        <w:t xml:space="preserve">Product Lifespan:</w:t>
      </w:r>
      <w:r>
        <w:t xml:space="preserve"> </w:t>
      </w:r>
      <w:r>
        <w:t xml:space="preserve">zeuxlkdfnp (Illustrative: 4 years)</w:t>
      </w:r>
    </w:p>
    <w:p>
      <w:pPr>
        <w:numPr>
          <w:ilvl w:val="0"/>
          <w:numId w:val="1007"/>
        </w:numPr>
        <w:pStyle w:val="Compact"/>
      </w:pPr>
      <w:r>
        <w:rPr>
          <w:bCs/>
          <w:b/>
        </w:rPr>
        <w:t xml:space="preserve">Energy Consumption in Use:</w:t>
      </w:r>
      <w:r>
        <w:t xml:space="preserve"> </w:t>
      </w:r>
      <w:r>
        <w:t xml:space="preserve">pswwtzpwfx (Illustrative: 0.08 kWh/hour, operating 3 hours/day, 300 days/year)</w:t>
      </w:r>
    </w:p>
    <w:p>
      <w:pPr>
        <w:numPr>
          <w:ilvl w:val="0"/>
          <w:numId w:val="1007"/>
        </w:numPr>
        <w:pStyle w:val="Compact"/>
      </w:pPr>
      <w:r>
        <w:rPr>
          <w:bCs/>
          <w:b/>
        </w:rPr>
        <w:t xml:space="preserve">Electricity Mix (Europe, illustrative):</w:t>
      </w:r>
      <w:r>
        <w:t xml:space="preserve"> </w:t>
      </w:r>
      <w:r>
        <w:t xml:space="preserve">0.25 kg CO2e/kWh (regional average during use phase)</w:t>
      </w:r>
    </w:p>
    <w:bookmarkEnd w:id="29"/>
    <w:bookmarkStart w:id="30" w:name="X3261202975bfccb1283f2bd5fabef2dfdbe9c90"/>
    <w:p>
      <w:pPr>
        <w:pStyle w:val="Heading2"/>
      </w:pPr>
      <w:r>
        <w:t xml:space="preserve">2.5. End-of-Life (EoL) Scenarios (Scope 3, Category 12)</w:t>
      </w:r>
    </w:p>
    <w:p>
      <w:pPr>
        <w:pStyle w:val="FirstParagraph"/>
      </w:pPr>
      <w:r>
        <w:t xml:space="preserve">Circular economy impacts are incorporated through end-of-life considerations.</w:t>
      </w:r>
    </w:p>
    <w:p>
      <w:pPr>
        <w:numPr>
          <w:ilvl w:val="0"/>
          <w:numId w:val="1008"/>
        </w:numPr>
        <w:pStyle w:val="Compact"/>
      </w:pPr>
      <w:r>
        <w:rPr>
          <w:bCs/>
          <w:b/>
        </w:rPr>
        <w:t xml:space="preserve">Recyclability Percentage:</w:t>
      </w:r>
      <w:r>
        <w:t xml:space="preserve"> </w:t>
      </w:r>
      <w:r>
        <w:t xml:space="preserve">jvhjylnyqs (Illustrative: 75% of non-packaging materials are recyclable)</w:t>
      </w:r>
    </w:p>
    <w:p>
      <w:pPr>
        <w:numPr>
          <w:ilvl w:val="0"/>
          <w:numId w:val="1008"/>
        </w:numPr>
        <w:pStyle w:val="Compact"/>
      </w:pPr>
      <w:r>
        <w:rPr>
          <w:bCs/>
          <w:b/>
        </w:rPr>
        <w:t xml:space="preserve">Circular/Take-back Programs:</w:t>
      </w:r>
      <w:r>
        <w:t xml:space="preserve"> </w:t>
      </w:r>
      <w:r>
        <w:t xml:space="preserve">nquwiwlesu (Illustrative: Producer-managed take-back program in place)</w:t>
      </w:r>
    </w:p>
    <w:p>
      <w:pPr>
        <w:numPr>
          <w:ilvl w:val="0"/>
          <w:numId w:val="1008"/>
        </w:numPr>
        <w:pStyle w:val="Compact"/>
      </w:pPr>
      <w:r>
        <w:rPr>
          <w:bCs/>
          <w:b/>
        </w:rPr>
        <w:t xml:space="preserve">Illustrative Avoided Emission Factor for Recycling:</w:t>
      </w:r>
      <w:r>
        <w:t xml:space="preserve"> </w:t>
      </w:r>
      <w:r>
        <w:t xml:space="preserve">-1.5 kg CO2e/kg (credit for displacing virgin material production)</w:t>
      </w:r>
    </w:p>
    <w:p>
      <w:pPr>
        <w:numPr>
          <w:ilvl w:val="0"/>
          <w:numId w:val="1008"/>
        </w:numPr>
        <w:pStyle w:val="Compact"/>
      </w:pPr>
      <w:r>
        <w:rPr>
          <w:bCs/>
          <w:b/>
        </w:rPr>
        <w:t xml:space="preserve">Illustrative Disposal Emission Factor (Landfill):</w:t>
      </w:r>
      <w:r>
        <w:t xml:space="preserve"> </w:t>
      </w:r>
      <w:r>
        <w:t xml:space="preserve">0.1 kg CO2e/kg (for non-recycled materials and packaging)</w:t>
      </w:r>
    </w:p>
    <w:p>
      <w:r>
        <w:pict>
          <v:rect style="width:0;height:1.5pt" o:hralign="center" o:hrstd="t" o:hr="t"/>
        </w:pict>
      </w:r>
    </w:p>
    <w:bookmarkEnd w:id="30"/>
    <w:bookmarkEnd w:id="31"/>
    <w:bookmarkStart w:id="38" w:name="X4eff67be3228dc1408ba045ea13b0013a3b5f0b"/>
    <w:p>
      <w:pPr>
        <w:pStyle w:val="Heading1"/>
      </w:pPr>
      <w:r>
        <w:t xml:space="preserve">3. Emissions Calculation and GHG Protocol Categorization</w:t>
      </w:r>
    </w:p>
    <w:p>
      <w:pPr>
        <w:pStyle w:val="FirstParagraph"/>
      </w:pPr>
      <w:r>
        <w:t xml:space="preserve">Emissions are calculated by multiplying the activity data from each lifecycle stage by relevant industry-standard emission factors, primarily sourced from databases like Ecoinvent and DEFRA. These are then categorized according to the GHG Protocol\'s Scope 1, Scope 2, and Scope 3 definitions.</w:t>
      </w:r>
    </w:p>
    <w:bookmarkStart w:id="32" w:name="scope-1-emissions-direct-emissions"/>
    <w:p>
      <w:pPr>
        <w:pStyle w:val="Heading2"/>
      </w:pPr>
      <w:r>
        <w:t xml:space="preserve">3.1. Scope 1 Emissions (Direct Emissions)</w:t>
      </w:r>
    </w:p>
    <w:p>
      <w:pPr>
        <w:pStyle w:val="FirstParagraph"/>
      </w:pPr>
      <w:r>
        <w:t xml:space="preserve">No Scope 1 emissions are directly attributed to the production or operation of</w:t>
      </w:r>
      <w:r>
        <w:t xml:space="preserve"> </w:t>
      </w:r>
      <w:r>
        <w:rPr>
          <w:bCs/>
          <w:b/>
        </w:rPr>
        <w:t xml:space="preserve">iypltklmvg</w:t>
      </w:r>
      <w:r>
        <w:t xml:space="preserve"> </w:t>
      </w:r>
      <w:r>
        <w:t xml:space="preserve">under the current defined system boundaries and parameters. This PCF primarily focuses on indirect emissions related to the product\'s value chain. Scope 1 emissions typically refer to direct GHG emissions from sources owned or controlled by the reporting entity.</w:t>
      </w:r>
    </w:p>
    <w:bookmarkEnd w:id="32"/>
    <w:bookmarkStart w:id="33" w:name="scope-2-emissions-purchased-energy"/>
    <w:p>
      <w:pPr>
        <w:pStyle w:val="Heading2"/>
      </w:pPr>
      <w:r>
        <w:t xml:space="preserve">3.2. Scope 2 Emissions (Purchased Energy)</w:t>
      </w:r>
    </w:p>
    <w:p>
      <w:pPr>
        <w:pStyle w:val="FirstParagraph"/>
      </w:pPr>
      <w:r>
        <w:t xml:space="preserve">Scope 2 emissions account for indirect GHG emissions from the generation of purchased electricity, heat, or steam consumed by the reporting company.</w:t>
      </w:r>
    </w:p>
    <w:p>
      <w:pPr>
        <w:numPr>
          <w:ilvl w:val="0"/>
          <w:numId w:val="1009"/>
        </w:numPr>
        <w:pStyle w:val="Compact"/>
      </w:pPr>
      <w:r>
        <w:rPr>
          <w:bCs/>
          <w:b/>
        </w:rPr>
        <w:t xml:space="preserve">Production Energy Emissions:</w:t>
      </w:r>
    </w:p>
    <w:p>
      <w:pPr>
        <w:numPr>
          <w:ilvl w:val="1"/>
          <w:numId w:val="1010"/>
        </w:numPr>
        <w:pStyle w:val="Compact"/>
      </w:pPr>
      <w:r>
        <w:t xml:space="preserve">Total energy intensity: 12 kWh/unit</w:t>
      </w:r>
    </w:p>
    <w:p>
      <w:pPr>
        <w:numPr>
          <w:ilvl w:val="1"/>
          <w:numId w:val="1010"/>
        </w:numPr>
        <w:pStyle w:val="Compact"/>
      </w:pPr>
      <w:r>
        <w:t xml:space="preserve">Non-renewable portion: 12 kWh * (1 - 0.60) = 4.8 kWh</w:t>
      </w:r>
    </w:p>
    <w:p>
      <w:pPr>
        <w:numPr>
          <w:ilvl w:val="1"/>
          <w:numId w:val="1010"/>
        </w:numPr>
        <w:pStyle w:val="Compact"/>
      </w:pPr>
      <w:r>
        <w:t xml:space="preserve">Emissions: 4.8 kWh * 0.65 kg CO2e/kWh (China grid mix) =</w:t>
      </w:r>
      <w:r>
        <w:t xml:space="preserve"> </w:t>
      </w:r>
      <w:r>
        <w:rPr>
          <w:bCs/>
          <w:b/>
        </w:rPr>
        <w:t xml:space="preserve">3.12 kg CO2e</w:t>
      </w:r>
    </w:p>
    <w:p>
      <w:pPr>
        <w:pStyle w:val="FirstParagraph"/>
      </w:pPr>
      <w:r>
        <w:rPr>
          <w:bCs/>
          <w:b/>
        </w:rPr>
        <w:t xml:space="preserve">Total Scope 2 Emissions: 3.12 kg CO2e</w:t>
      </w:r>
    </w:p>
    <w:bookmarkEnd w:id="33"/>
    <w:bookmarkStart w:id="36" w:name="scope-3-emissions-value-chain-emissions"/>
    <w:p>
      <w:pPr>
        <w:pStyle w:val="Heading2"/>
      </w:pPr>
      <w:r>
        <w:t xml:space="preserve">3.3. Scope 3 Emissions (Value Chain Emissions)</w:t>
      </w:r>
    </w:p>
    <w:p>
      <w:pPr>
        <w:pStyle w:val="FirstParagraph"/>
      </w:pPr>
      <w:r>
        <w:t xml:space="preserve">Scope 3 emissions are all other indirect emissions that occur in a company\'s value chain, both upstream and downstream. This analysis covers key Scope 3 categories to ensure robust reporting, aiming for at least 95% coverage as per 2026 requirements.</w:t>
      </w:r>
    </w:p>
    <w:bookmarkStart w:id="34" w:name="upstream-emissions"/>
    <w:p>
      <w:pPr>
        <w:pStyle w:val="Heading3"/>
      </w:pPr>
      <w:r>
        <w:t xml:space="preserve">3.3.1. Upstream Emissions</w:t>
      </w:r>
    </w:p>
    <w:p>
      <w:pPr>
        <w:numPr>
          <w:ilvl w:val="0"/>
          <w:numId w:val="1011"/>
        </w:numPr>
        <w:pStyle w:val="Compact"/>
      </w:pPr>
      <w:r>
        <w:rPr>
          <w:bCs/>
          <w:b/>
        </w:rPr>
        <w:t xml:space="preserve">Category 1: Purchased Goods and Services (Raw Materials)</w:t>
      </w:r>
    </w:p>
    <w:p>
      <w:pPr>
        <w:numPr>
          <w:ilvl w:val="1"/>
          <w:numId w:val="1012"/>
        </w:numPr>
        <w:pStyle w:val="Compact"/>
      </w:pPr>
      <w:r>
        <w:t xml:space="preserve">Based on the illustrative BOM analysis:</w:t>
      </w:r>
      <w:r>
        <w:t xml:space="preserve"> </w:t>
      </w:r>
      <w:r>
        <w:rPr>
          <w:bCs/>
          <w:b/>
        </w:rPr>
        <w:t xml:space="preserve">6.07375 kg CO2e</w:t>
      </w:r>
    </w:p>
    <w:p>
      <w:pPr>
        <w:numPr>
          <w:ilvl w:val="0"/>
          <w:numId w:val="1011"/>
        </w:numPr>
        <w:pStyle w:val="Compact"/>
      </w:pPr>
      <w:r>
        <w:rPr>
          <w:bCs/>
          <w:b/>
        </w:rPr>
        <w:t xml:space="preserve">Category 4: Upstream Transportation and Distribution (Factory to Distribution Center)</w:t>
      </w:r>
    </w:p>
    <w:p>
      <w:pPr>
        <w:numPr>
          <w:ilvl w:val="1"/>
          <w:numId w:val="1013"/>
        </w:numPr>
        <w:pStyle w:val="Compact"/>
      </w:pPr>
      <w:r>
        <w:t xml:space="preserve">Sea Transport: 0.0008 tonne * 15,000 km * 0.010 kg CO2e/tonne-km = 0.12 kg CO2e</w:t>
      </w:r>
    </w:p>
    <w:p>
      <w:pPr>
        <w:numPr>
          <w:ilvl w:val="1"/>
          <w:numId w:val="1013"/>
        </w:numPr>
        <w:pStyle w:val="Compact"/>
      </w:pPr>
      <w:r>
        <w:t xml:space="preserve">Road Transport: 0.0008 tonne * 800 km * 0.080 kg CO2e/tonne-km = 0.0512 kg CO2e</w:t>
      </w:r>
    </w:p>
    <w:p>
      <w:pPr>
        <w:numPr>
          <w:ilvl w:val="1"/>
          <w:numId w:val="1013"/>
        </w:numPr>
        <w:pStyle w:val="Compact"/>
      </w:pPr>
      <w:r>
        <w:t xml:space="preserve">Total Upstream Transport:</w:t>
      </w:r>
      <w:r>
        <w:t xml:space="preserve"> </w:t>
      </w:r>
      <w:r>
        <w:rPr>
          <w:bCs/>
          <w:b/>
        </w:rPr>
        <w:t xml:space="preserve">0.1712 kg CO2e</w:t>
      </w:r>
    </w:p>
    <w:bookmarkEnd w:id="34"/>
    <w:bookmarkStart w:id="35" w:name="downstream-emissions"/>
    <w:p>
      <w:pPr>
        <w:pStyle w:val="Heading3"/>
      </w:pPr>
      <w:r>
        <w:t xml:space="preserve">3.3.2. Downstream Emissions</w:t>
      </w:r>
    </w:p>
    <w:p>
      <w:pPr>
        <w:numPr>
          <w:ilvl w:val="0"/>
          <w:numId w:val="1014"/>
        </w:numPr>
        <w:pStyle w:val="Compact"/>
      </w:pPr>
      <w:r>
        <w:rPr>
          <w:bCs/>
          <w:b/>
        </w:rPr>
        <w:t xml:space="preserve">Category 9: Downstream Transportation and Distribution (Last-Mile Delivery)</w:t>
      </w:r>
    </w:p>
    <w:p>
      <w:pPr>
        <w:numPr>
          <w:ilvl w:val="1"/>
          <w:numId w:val="1015"/>
        </w:numPr>
        <w:pStyle w:val="Compact"/>
      </w:pPr>
      <w:r>
        <w:t xml:space="preserve">Last-Mile Delivery: 75 km * 0.15 kg CO2e/km =</w:t>
      </w:r>
      <w:r>
        <w:t xml:space="preserve"> </w:t>
      </w:r>
      <w:r>
        <w:rPr>
          <w:bCs/>
          <w:b/>
        </w:rPr>
        <w:t xml:space="preserve">1.125 kg CO2e</w:t>
      </w:r>
    </w:p>
    <w:p>
      <w:pPr>
        <w:numPr>
          <w:ilvl w:val="0"/>
          <w:numId w:val="1014"/>
        </w:numPr>
        <w:pStyle w:val="Compact"/>
      </w:pPr>
      <w:r>
        <w:rPr>
          <w:bCs/>
          <w:b/>
        </w:rPr>
        <w:t xml:space="preserve">Category 11: Use of Sold Products</w:t>
      </w:r>
    </w:p>
    <w:p>
      <w:pPr>
        <w:numPr>
          <w:ilvl w:val="1"/>
          <w:numId w:val="1016"/>
        </w:numPr>
        <w:pStyle w:val="Compact"/>
      </w:pPr>
      <w:r>
        <w:t xml:space="preserve">Total Use Phase Energy: 0.08 kWh/hr * 3 hr/day * 300 days/year * 4 years = 288 kWh</w:t>
      </w:r>
    </w:p>
    <w:p>
      <w:pPr>
        <w:numPr>
          <w:ilvl w:val="1"/>
          <w:numId w:val="1016"/>
        </w:numPr>
        <w:pStyle w:val="Compact"/>
      </w:pPr>
      <w:r>
        <w:t xml:space="preserve">Emissions: 288 kWh * 0.25 kg CO2e/kWh (Europe electricity mix) =</w:t>
      </w:r>
      <w:r>
        <w:t xml:space="preserve"> </w:t>
      </w:r>
      <w:r>
        <w:rPr>
          <w:bCs/>
          <w:b/>
        </w:rPr>
        <w:t xml:space="preserve">72.0 kg CO2e</w:t>
      </w:r>
    </w:p>
    <w:p>
      <w:pPr>
        <w:numPr>
          <w:ilvl w:val="0"/>
          <w:numId w:val="1014"/>
        </w:numPr>
        <w:pStyle w:val="Compact"/>
      </w:pPr>
      <w:r>
        <w:rPr>
          <w:bCs/>
          <w:b/>
        </w:rPr>
        <w:t xml:space="preserve">Category 12: End-of-Life Treatment of Sold Products</w:t>
      </w:r>
    </w:p>
    <w:p>
      <w:pPr>
        <w:numPr>
          <w:ilvl w:val="1"/>
          <w:numId w:val="1017"/>
        </w:numPr>
        <w:pStyle w:val="Compact"/>
      </w:pPr>
      <w:r>
        <w:t xml:space="preserve">Total non-packaging materials: 0.65 kg</w:t>
      </w:r>
    </w:p>
    <w:p>
      <w:pPr>
        <w:numPr>
          <w:ilvl w:val="1"/>
          <w:numId w:val="1017"/>
        </w:numPr>
        <w:pStyle w:val="Compact"/>
      </w:pPr>
      <w:r>
        <w:t xml:space="preserve">Recycled portion: 0.4875 kg * -1.5 kg CO2e/kg (credit) = -0.73125 kg CO2e</w:t>
      </w:r>
    </w:p>
    <w:p>
      <w:pPr>
        <w:numPr>
          <w:ilvl w:val="1"/>
          <w:numId w:val="1017"/>
        </w:numPr>
        <w:pStyle w:val="Compact"/>
      </w:pPr>
      <w:r>
        <w:t xml:space="preserve">Disposed portion (non-recycled materials + packaging): (0.1625 kg + 0.1 kg) * 0.1 kg CO2e/kg (landfill) = 0.02625 kg CO2e</w:t>
      </w:r>
    </w:p>
    <w:p>
      <w:pPr>
        <w:numPr>
          <w:ilvl w:val="1"/>
          <w:numId w:val="1017"/>
        </w:numPr>
        <w:pStyle w:val="Compact"/>
      </w:pPr>
      <w:r>
        <w:t xml:space="preserve">Total EoL Impact:</w:t>
      </w:r>
      <w:r>
        <w:t xml:space="preserve"> </w:t>
      </w:r>
      <w:r>
        <w:rPr>
          <w:bCs/>
          <w:b/>
        </w:rPr>
        <w:t xml:space="preserve">-0.705 kg CO2e (Net Carbon Credit)</w:t>
      </w:r>
    </w:p>
    <w:bookmarkEnd w:id="35"/>
    <w:bookmarkEnd w:id="36"/>
    <w:bookmarkStart w:id="37" w:name="summary-of-product-carbon-footprint"/>
    <w:p>
      <w:pPr>
        <w:pStyle w:val="Heading2"/>
      </w:pPr>
      <w:r>
        <w:t xml:space="preserve">3.4. Summary of Product Carbon Footprint</w:t>
      </w:r>
    </w:p>
    <w:p>
      <w:pPr>
        <w:pStyle w:val="FirstParagraph"/>
      </w:pPr>
      <w:r>
        <w:t xml:space="preserve">The total Product Carbon Footprint for one functional unit of</w:t>
      </w:r>
      <w:r>
        <w:t xml:space="preserve"> </w:t>
      </w:r>
      <w:r>
        <w:rPr>
          <w:bCs/>
          <w:b/>
        </w:rPr>
        <w:t xml:space="preserve">iypltklmvg</w:t>
      </w:r>
      <w:r>
        <w:t xml:space="preserve"> </w:t>
      </w:r>
      <w:r>
        <w:t xml:space="preserve">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Raw Materials</w:t>
            </w:r>
          </w:p>
        </w:tc>
        <w:tc>
          <w:tcPr/>
          <w:p>
            <w:pPr>
              <w:pStyle w:val="Compact"/>
              <w:jc w:val="left"/>
            </w:pPr>
            <w:r>
              <w:t xml:space="preserve">Scope 3, Category 1</w:t>
            </w:r>
          </w:p>
        </w:tc>
        <w:tc>
          <w:tcPr/>
          <w:p>
            <w:pPr>
              <w:pStyle w:val="Compact"/>
              <w:jc w:val="left"/>
            </w:pPr>
            <w:r>
              <w:t xml:space="preserve">6.07375</w:t>
            </w:r>
          </w:p>
        </w:tc>
        <w:tc>
          <w:tcPr/>
          <w:p>
            <w:pPr>
              <w:pStyle w:val="Compact"/>
              <w:jc w:val="left"/>
            </w:pPr>
            <w:r>
              <w:t xml:space="preserve">7.43%</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3.12000</w:t>
            </w:r>
          </w:p>
        </w:tc>
        <w:tc>
          <w:tcPr/>
          <w:p>
            <w:pPr>
              <w:pStyle w:val="Compact"/>
              <w:jc w:val="left"/>
            </w:pPr>
            <w:r>
              <w:t xml:space="preserve">3.82%</w:t>
            </w:r>
          </w:p>
        </w:tc>
      </w:tr>
      <w:tr>
        <w:tc>
          <w:tcPr/>
          <w:p>
            <w:pPr>
              <w:pStyle w:val="Compact"/>
              <w:jc w:val="left"/>
            </w:pPr>
            <w:r>
              <w:t xml:space="preserve">Transport (Factory to DC)</w:t>
            </w:r>
          </w:p>
        </w:tc>
        <w:tc>
          <w:tcPr/>
          <w:p>
            <w:pPr>
              <w:pStyle w:val="Compact"/>
              <w:jc w:val="left"/>
            </w:pPr>
            <w:r>
              <w:t xml:space="preserve">Scope 3, Category 4</w:t>
            </w:r>
          </w:p>
        </w:tc>
        <w:tc>
          <w:tcPr/>
          <w:p>
            <w:pPr>
              <w:pStyle w:val="Compact"/>
              <w:jc w:val="left"/>
            </w:pPr>
            <w:r>
              <w:t xml:space="preserve">0.17120</w:t>
            </w:r>
          </w:p>
        </w:tc>
        <w:tc>
          <w:tcPr/>
          <w:p>
            <w:pPr>
              <w:pStyle w:val="Compact"/>
              <w:jc w:val="left"/>
            </w:pPr>
            <w:r>
              <w:t xml:space="preserve">0.21%</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1.12500</w:t>
            </w:r>
          </w:p>
        </w:tc>
        <w:tc>
          <w:tcPr/>
          <w:p>
            <w:pPr>
              <w:pStyle w:val="Compact"/>
              <w:jc w:val="left"/>
            </w:pPr>
            <w:r>
              <w:t xml:space="preserve">1.38%</w:t>
            </w:r>
          </w:p>
        </w:tc>
      </w:tr>
      <w:tr>
        <w:tc>
          <w:tcPr/>
          <w:p>
            <w:pPr>
              <w:pStyle w:val="Compact"/>
              <w:jc w:val="left"/>
            </w:pPr>
            <w:r>
              <w:t xml:space="preserve">Use Phase Energy</w:t>
            </w:r>
          </w:p>
        </w:tc>
        <w:tc>
          <w:tcPr/>
          <w:p>
            <w:pPr>
              <w:pStyle w:val="Compact"/>
              <w:jc w:val="left"/>
            </w:pPr>
            <w:r>
              <w:t xml:space="preserve">Scope 3, Category 11</w:t>
            </w:r>
          </w:p>
        </w:tc>
        <w:tc>
          <w:tcPr/>
          <w:p>
            <w:pPr>
              <w:pStyle w:val="Compact"/>
              <w:jc w:val="left"/>
            </w:pPr>
            <w:r>
              <w:t xml:space="preserve">72.00000</w:t>
            </w:r>
          </w:p>
        </w:tc>
        <w:tc>
          <w:tcPr/>
          <w:p>
            <w:pPr>
              <w:pStyle w:val="Compact"/>
              <w:jc w:val="left"/>
            </w:pPr>
            <w:r>
              <w:t xml:space="preserve">88.03%</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-0.70500</w:t>
            </w:r>
          </w:p>
        </w:tc>
        <w:tc>
          <w:tcPr/>
          <w:p>
            <w:pPr>
              <w:pStyle w:val="Compact"/>
              <w:jc w:val="left"/>
            </w:pPr>
            <w:r>
              <w:t xml:space="preserve">-0.86%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81.78495</w:t>
            </w:r>
          </w:p>
        </w:tc>
        <w:tc>
          <w:tcPr/>
          <w:p>
            <w:pPr>
              <w:pStyle w:val="Compact"/>
              <w:jc w:val="left"/>
            </w:pPr>
            <w:r>
              <w:rPr>
                <w:bCs/>
                <w:b/>
              </w:rPr>
              <w:t xml:space="preserve">100.00%</w:t>
            </w:r>
          </w:p>
        </w:tc>
      </w:tr>
    </w:tbl>
    <w:p>
      <w:pPr>
        <w:pStyle w:val="BodyText"/>
      </w:pPr>
      <w:r>
        <w:rPr>
          <w:iCs/>
          <w:i/>
        </w:rPr>
        <w:t xml:space="preserve">Note: Percentages may not sum to exactly 100% due to rounding. All figures derived from illustrative data and industry-average emission factors.</w:t>
      </w:r>
    </w:p>
    <w:p>
      <w:r>
        <w:pict>
          <v:rect style="width:0;height:1.5pt" o:hralign="center" o:hrstd="t" o:hr="t"/>
        </w:pict>
      </w:r>
    </w:p>
    <w:bookmarkEnd w:id="37"/>
    <w:bookmarkEnd w:id="38"/>
    <w:bookmarkStart w:id="42" w:name="review-report"/>
    <w:p>
      <w:pPr>
        <w:pStyle w:val="Heading1"/>
      </w:pPr>
      <w:r>
        <w:t xml:space="preserve">4. Review &amp; Report</w:t>
      </w:r>
    </w:p>
    <w:p>
      <w:pPr>
        <w:pStyle w:val="FirstParagraph"/>
      </w:pPr>
      <w:r>
        <w:t xml:space="preserve">This section summarizes the findings, identifies emission hotspots, discusses data reliability, and provides recommendations for</w:t>
      </w:r>
      <w:r>
        <w:t xml:space="preserve"> </w:t>
      </w:r>
      <w:r>
        <w:rPr>
          <w:bCs/>
          <w:b/>
        </w:rPr>
        <w:t xml:space="preserve">xxtznotgjt</w:t>
      </w:r>
      <w:r>
        <w:t xml:space="preserve"> </w:t>
      </w:r>
      <w:r>
        <w:t xml:space="preserve">to reduce the carbon footprint of</w:t>
      </w:r>
      <w:r>
        <w:t xml:space="preserve"> </w:t>
      </w:r>
      <w:r>
        <w:rPr>
          <w:bCs/>
          <w:b/>
        </w:rPr>
        <w:t xml:space="preserve">iypltklmvg</w:t>
      </w:r>
      <w:r>
        <w:t xml:space="preserve">.</w:t>
      </w:r>
    </w:p>
    <w:bookmarkStart w:id="39" w:name="key-insights-hotspots"/>
    <w:p>
      <w:pPr>
        <w:pStyle w:val="Heading2"/>
      </w:pPr>
      <w:r>
        <w:t xml:space="preserve">4.1. Key Insights &amp; Hotspots</w:t>
      </w:r>
    </w:p>
    <w:p>
      <w:pPr>
        <w:pStyle w:val="FirstParagraph"/>
      </w:pPr>
      <w:r>
        <w:t xml:space="preserve">The analysis clearly identifies the following key emission hotspots for</w:t>
      </w:r>
      <w:r>
        <w:t xml:space="preserve"> </w:t>
      </w:r>
      <w:r>
        <w:rPr>
          <w:bCs/>
          <w:b/>
        </w:rPr>
        <w:t xml:space="preserve">iypltklmvg</w:t>
      </w:r>
      <w:r>
        <w:t xml:space="preserve">:</w:t>
      </w:r>
    </w:p>
    <w:p>
      <w:pPr>
        <w:numPr>
          <w:ilvl w:val="0"/>
          <w:numId w:val="1018"/>
        </w:numPr>
        <w:pStyle w:val="Compact"/>
      </w:pPr>
      <w:r>
        <w:rPr>
          <w:bCs/>
          <w:b/>
        </w:rPr>
        <w:t xml:space="preserve">Use Phase Dominance:</w:t>
      </w:r>
      <w:r>
        <w:t xml:space="preserve"> </w:t>
      </w:r>
      <w:r>
        <w:t xml:space="preserve">The most significant contributor to the product\'s carbon footprint is the Use Phase, accounting for approximately 88.03% of total emissions. This is primarily due to the product\'s energy consumption over its 4-year lifespan. This finding is consistent with many consumer electronic devices.</w:t>
      </w:r>
    </w:p>
    <w:p>
      <w:pPr>
        <w:numPr>
          <w:ilvl w:val="0"/>
          <w:numId w:val="1018"/>
        </w:numPr>
        <w:pStyle w:val="Compact"/>
      </w:pPr>
      <w:r>
        <w:rPr>
          <w:bCs/>
          <w:b/>
        </w:rPr>
        <w:t xml:space="preserve">Raw Material Acquisition:</w:t>
      </w:r>
      <w:r>
        <w:t xml:space="preserve"> </w:t>
      </w:r>
      <w:r>
        <w:t xml:space="preserve">Purchased goods and services (Scope 3, Category 1), particularly the extraction and production of materials like aluminum, ABS plastic, and electronics, contribute significantly as an upstream hotspot, representing about 7.43% of the total PCF.</w:t>
      </w:r>
    </w:p>
    <w:p>
      <w:pPr>
        <w:numPr>
          <w:ilvl w:val="0"/>
          <w:numId w:val="1018"/>
        </w:numPr>
        <w:pStyle w:val="Compact"/>
      </w:pPr>
      <w:r>
        <w:rPr>
          <w:bCs/>
          <w:b/>
        </w:rPr>
        <w:t xml:space="preserve">Manufacturing Energy:</w:t>
      </w:r>
      <w:r>
        <w:t xml:space="preserve"> </w:t>
      </w:r>
      <w:r>
        <w:t xml:space="preserve">Purchased electricity for manufacturing in China (Scope 2) accounts for 3.82% of the footprint, influenced by the grid mix of the production country.</w:t>
      </w:r>
    </w:p>
    <w:p>
      <w:pPr>
        <w:numPr>
          <w:ilvl w:val="0"/>
          <w:numId w:val="1018"/>
        </w:numPr>
        <w:pStyle w:val="Compact"/>
      </w:pPr>
      <w:r>
        <w:rPr>
          <w:bCs/>
          <w:b/>
        </w:rPr>
        <w:t xml:space="preserve">End-of-Life (EoL) Credit:</w:t>
      </w:r>
      <w:r>
        <w:t xml:space="preserve"> </w:t>
      </w:r>
      <w:r>
        <w:t xml:space="preserve">The strong recyclability (75%) and the presence of a producer-managed take-back program result in a net carbon credit during the End-of-Life stage, actively reducing the overall footprint. This highlights the positive impact of circular economy initiatives.</w:t>
      </w:r>
    </w:p>
    <w:p>
      <w:pPr>
        <w:numPr>
          <w:ilvl w:val="0"/>
          <w:numId w:val="1018"/>
        </w:numPr>
        <w:pStyle w:val="Compact"/>
      </w:pPr>
      <w:r>
        <w:rPr>
          <w:bCs/>
          <w:b/>
        </w:rPr>
        <w:t xml:space="preserve">Transport Impact:</w:t>
      </w:r>
      <w:r>
        <w:t xml:space="preserve"> </w:t>
      </w:r>
      <w:r>
        <w:t xml:space="preserve">While essential, both upstream and downstream transportation represent a relatively smaller portion of the overall footprint (around 1.59% combined), given the product\'s weight and the modes selected.</w:t>
      </w:r>
    </w:p>
    <w:bookmarkEnd w:id="39"/>
    <w:bookmarkStart w:id="40" w:name="data-reliability-and-limitations"/>
    <w:p>
      <w:pPr>
        <w:pStyle w:val="Heading2"/>
      </w:pPr>
      <w:r>
        <w:t xml:space="preserve">4.2. Data Reliability and Limitations</w:t>
      </w:r>
    </w:p>
    <w:p>
      <w:pPr>
        <w:pStyle w:val="FirstParagraph"/>
      </w:pPr>
      <w:r>
        <w:t xml:space="preserve">This report is based on a combination of specific parameters provided by</w:t>
      </w:r>
      <w:r>
        <w:t xml:space="preserve"> </w:t>
      </w:r>
      <w:r>
        <w:rPr>
          <w:bCs/>
          <w:b/>
        </w:rPr>
        <w:t xml:space="preserve">xxtznotgjt</w:t>
      </w:r>
      <w:r>
        <w:t xml:space="preserve"> </w:t>
      </w:r>
      <w:r>
        <w:t xml:space="preserve">and illustrative, industry-average data for placeholders. The accuracy of the PCF is directly dependent on the quality and specificity of the input data. Where specific data was unavailable (due to placeholder inputs), generic emission factors from established databases like Ecoinvent and DEFRA have been utilized. These databases provide robust, peer-reviewed data; however, using highly specific primary data from direct suppliers would further enhance accuracy.</w:t>
      </w:r>
    </w:p>
    <w:p>
      <w:pPr>
        <w:pStyle w:val="BodyText"/>
      </w:pPr>
      <w:r>
        <w:t xml:space="preserve">The application of the GHG Protocol\'s 2026 LSR Standard is qualitative in this report, acknowledging its importance for land-related emissions and removals, particularly for agricultural and bio-based components. Future iterations with more granular supply chain data for raw materials will allow for quantitative assessment of land occupation and carbon leakage, as mandated by the LSR Standard.</w:t>
      </w:r>
    </w:p>
    <w:bookmarkEnd w:id="40"/>
    <w:bookmarkStart w:id="41" w:name="recommendations-for-carbon-reduction"/>
    <w:p>
      <w:pPr>
        <w:pStyle w:val="Heading2"/>
      </w:pPr>
      <w:r>
        <w:t xml:space="preserve">4.3. Recommendations for Carbon Reduction</w:t>
      </w:r>
    </w:p>
    <w:p>
      <w:pPr>
        <w:pStyle w:val="FirstParagraph"/>
      </w:pPr>
      <w:r>
        <w:t xml:space="preserve">Based on this PCF analysis,</w:t>
      </w:r>
      <w:r>
        <w:t xml:space="preserve"> </w:t>
      </w:r>
      <w:r>
        <w:rPr>
          <w:bCs/>
          <w:b/>
        </w:rPr>
        <w:t xml:space="preserve">wtlhnjvfrl</w:t>
      </w:r>
      <w:r>
        <w:t xml:space="preserve"> </w:t>
      </w:r>
      <w:r>
        <w:t xml:space="preserve">recommends the following actions for</w:t>
      </w:r>
      <w:r>
        <w:t xml:space="preserve"> </w:t>
      </w:r>
      <w:r>
        <w:rPr>
          <w:bCs/>
          <w:b/>
        </w:rPr>
        <w:t xml:space="preserve">xxtznotgjt</w:t>
      </w:r>
      <w:r>
        <w:t xml:space="preserve"> </w:t>
      </w:r>
      <w:r>
        <w:t xml:space="preserve">to reduce the carbon footprint of</w:t>
      </w:r>
      <w:r>
        <w:t xml:space="preserve"> </w:t>
      </w:r>
      <w:r>
        <w:rPr>
          <w:bCs/>
          <w:b/>
        </w:rPr>
        <w:t xml:space="preserve">iypltklmvg</w:t>
      </w:r>
      <w:r>
        <w:t xml:space="preserve">:</w:t>
      </w:r>
    </w:p>
    <w:p>
      <w:pPr>
        <w:numPr>
          <w:ilvl w:val="0"/>
          <w:numId w:val="1019"/>
        </w:numPr>
        <w:pStyle w:val="Compact"/>
      </w:pPr>
      <w:r>
        <w:rPr>
          <w:bCs/>
          <w:b/>
        </w:rPr>
        <w:t xml:space="preserve">Optimize Use Phase Energy:</w:t>
      </w:r>
      <w:r>
        <w:t xml:space="preserve"> </w:t>
      </w:r>
      <w:r>
        <w:t xml:space="preserve">Given its dominant impact, prioritize design innovations to significantly reduce the product\'s energy consumption during its operational lifespan. This could include more energy-efficient components, advanced power management features, or extending product durability to reduce replacement cycles.</w:t>
      </w:r>
    </w:p>
    <w:p>
      <w:pPr>
        <w:numPr>
          <w:ilvl w:val="0"/>
          <w:numId w:val="1019"/>
        </w:numPr>
        <w:pStyle w:val="Compact"/>
      </w:pPr>
      <w:r>
        <w:rPr>
          <w:bCs/>
          <w:b/>
        </w:rPr>
        <w:t xml:space="preserve">Sustainable Material Sourcing:</w:t>
      </w:r>
      <w:r>
        <w:t xml:space="preserve"> </w:t>
      </w:r>
      <w:r>
        <w:t xml:space="preserve">Engage proactively with suppliers to identify and procure lower-carbon intensity raw materials, increase the use of recycled content, especially for high-impact materials like aluminum and electronics, and explore alternative, more sustainable material choices.</w:t>
      </w:r>
    </w:p>
    <w:p>
      <w:pPr>
        <w:numPr>
          <w:ilvl w:val="0"/>
          <w:numId w:val="1019"/>
        </w:numPr>
        <w:pStyle w:val="Compact"/>
      </w:pPr>
      <w:r>
        <w:rPr>
          <w:bCs/>
          <w:b/>
        </w:rPr>
        <w:t xml:space="preserve">Decarbonize Production:</w:t>
      </w:r>
      <w:r>
        <w:t xml:space="preserve"> </w:t>
      </w:r>
      <w:r>
        <w:t xml:space="preserve">Increase the adoption of renewable electricity at the China-based manufacturing facility beyond the current 60% target. Explore Power Purchase Agreements (PPAs) or invest in on-site renewable energy generation to further reduce Scope 2 emissions.</w:t>
      </w:r>
    </w:p>
    <w:p>
      <w:pPr>
        <w:numPr>
          <w:ilvl w:val="0"/>
          <w:numId w:val="1019"/>
        </w:numPr>
        <w:pStyle w:val="Compact"/>
      </w:pPr>
      <w:r>
        <w:rPr>
          <w:bCs/>
          <w:b/>
        </w:rPr>
        <w:t xml:space="preserve">Enhance Circularity Programs:</w:t>
      </w:r>
      <w:r>
        <w:t xml:space="preserve"> </w:t>
      </w:r>
      <w:r>
        <w:t xml:space="preserve">Continuously strengthen and promote the existing take-back and recycling programs to maximize material recovery and ensure that end-of-life credits are fully realized. Consider design for disassembly and modularity to facilitate repair, refurbishment, and easier recycling.</w:t>
      </w:r>
    </w:p>
    <w:p>
      <w:pPr>
        <w:numPr>
          <w:ilvl w:val="0"/>
          <w:numId w:val="1019"/>
        </w:numPr>
        <w:pStyle w:val="Compact"/>
      </w:pPr>
      <w:r>
        <w:rPr>
          <w:bCs/>
          <w:b/>
        </w:rPr>
        <w:t xml:space="preserve">Supply Chain Transparency:</w:t>
      </w:r>
      <w:r>
        <w:t xml:space="preserve"> </w:t>
      </w:r>
      <w:r>
        <w:t xml:space="preserve">Work with upstream suppliers to gather more primary data on material production and transportation, allowing for even more precise Scope 3 calculations and targeted interventions.</w:t>
      </w:r>
    </w:p>
    <w:p>
      <w:pPr>
        <w:pStyle w:val="FirstParagraph"/>
      </w:pPr>
      <w:r>
        <w:t xml:space="preserve">By implementing these recommendations,</w:t>
      </w:r>
      <w:r>
        <w:t xml:space="preserve"> </w:t>
      </w:r>
      <w:r>
        <w:rPr>
          <w:bCs/>
          <w:b/>
        </w:rPr>
        <w:t xml:space="preserve">xxtznotgjt</w:t>
      </w:r>
      <w:r>
        <w:t xml:space="preserve"> </w:t>
      </w:r>
      <w:r>
        <w:t xml:space="preserve">can significantly reduce the environmental impact of</w:t>
      </w:r>
      <w:r>
        <w:t xml:space="preserve"> </w:t>
      </w:r>
      <w:r>
        <w:rPr>
          <w:bCs/>
          <w:b/>
        </w:rPr>
        <w:t xml:space="preserve">iypltklmvg</w:t>
      </w:r>
      <w:r>
        <w:t xml:space="preserve"> </w:t>
      </w:r>
      <w:r>
        <w:t xml:space="preserve">and demonstrate strong leadership in product sustainability.</w:t>
      </w:r>
    </w:p>
    <w:p>
      <w:r>
        <w:pict>
          <v:rect style="width:0;height:1.5pt" o:hralign="center" o:hrstd="t" o:hr="t"/>
        </w:pict>
      </w:r>
    </w:p>
    <w:p>
      <w:pPr>
        <w:pStyle w:val="FirstParagraph"/>
      </w:pPr>
      <w:r>
        <w:t xml:space="preserve">This report was generated using methodologies aligned with carboncalcpcf.com, a professional tool for product carbon footprint analysis compliant with GHG Protocol.</w:t>
      </w:r>
    </w:p>
    <w:bookmarkEnd w:id="41"/>
    <w:bookmarkEnd w:id="42"/>
    <w:p>
      <w:pPr>
        <w:pStyle w:val="BodyText"/>
      </w:pPr>
      <w:r>
        <w:t xml:space="preserve">Confidential - Internal Use Only | Page</w:t>
      </w:r>
      <w:r>
        <w:t xml:space="preserve"> </w:t>
      </w:r>
      <w:bookmarkStart w:id="43" w:name="page-num"/>
      <w:bookmarkEnd w:id="4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iypltklmvg - xxtznotgjt</dc:title>
  <dc:creator/>
  <dc:description>Detailed Product Carbon Footprint (PCF) analysis report for iypltklmvg, performed by Senior Sustainability Consultant wtlhnjvfrl for xxtznotgjt, adhering to GHG Protocol and 2026 LSR standards.</dc:description>
  <dc:language>en</dc:language>
  <cp:keywords/>
  <dcterms:created xsi:type="dcterms:W3CDTF">2026-07-15T17:09:45Z</dcterms:created>
  <dcterms:modified xsi:type="dcterms:W3CDTF">2026-07-15T17:09:45Z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