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iydutrzjfx</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iydutrzjfx</w:t>
      </w:r>
    </w:p>
    <w:p>
      <w:pPr>
        <w:pStyle w:val="BodyText"/>
      </w:pPr>
      <w:r>
        <w:rPr>
          <w:bCs/>
          <w:b/>
        </w:rPr>
        <w:t xml:space="preserve">Company Name:</w:t>
      </w:r>
      <w:r>
        <w:t xml:space="preserve"> </w:t>
      </w:r>
      <w:r>
        <w:t xml:space="preserve">nwfwmpgosu</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hqpmpjllpt</w:t>
      </w:r>
    </w:p>
    <w:p>
      <w:pPr>
        <w:pStyle w:val="BodyText"/>
      </w:pPr>
      <w:r>
        <w:t xml:space="preserve">Disclaimer: This report is generated based on available data and industry standards. While efforts have been made to ensure accuracy, the actual environmental impact may vary based on real-world conditions and specific supplier data.</w:t>
      </w:r>
    </w:p>
    <w:bookmarkEnd w:id="20"/>
    <w:bookmarkStart w:id="21" w:name="Xdcb94060ffe3716cd77b76e2162a978f778dc56"/>
    <w:p>
      <w:pPr>
        <w:pStyle w:val="Heading1"/>
      </w:pPr>
      <w:r>
        <w:t xml:space="preserve">Product Carbon Footprint Report for iydutrzjfx</w:t>
      </w:r>
    </w:p>
    <w:p>
      <w:pPr>
        <w:pStyle w:val="FirstParagraph"/>
      </w:pPr>
      <w:r>
        <w:t xml:space="preserve">Generated Date: June 4, 2026</w:t>
      </w:r>
    </w:p>
    <w:p>
      <w:pPr>
        <w:pStyle w:val="BodyText"/>
      </w:pPr>
      <w:r>
        <w:t xml:space="preserve">Prepared by: hqpmpjllpt,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iydutrzjfx, manufactured by nwfwmpgosu. The analysis adheres to the GHG Protocol, incorporating the 2026 Land Sector and Removals (LSR) Standard where applicable and aiming for at least 95% Scope 3 coverage. The total carbon footprint for one functional unit of iydutrzjfx is calculated to be</w:t>
      </w:r>
      <w:r>
        <w:t xml:space="preserve"> </w:t>
      </w:r>
      <w:r>
        <w:rPr>
          <w:bCs/>
          <w:b/>
        </w:rPr>
        <w:t xml:space="preserve">11.395 kgCO2e</w:t>
      </w:r>
      <w:r>
        <w:t xml:space="preserve">. The Use Phase of the product is identified as the primary hotspot, contributing approximately 87.7% of the total emissions, highlighting significant opportunities for reduction through energy efficiency and renewable energy adoption during the product\'s operational lifespan.</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iydutrzjfx</w:t>
      </w:r>
      <w:r>
        <w:t xml:space="preserve">, designed to deliver its intended purpose throughout its lifespan.</w:t>
      </w:r>
    </w:p>
    <w:bookmarkEnd w:id="23"/>
    <w:bookmarkStart w:id="24" w:name="system-boundary"/>
    <w:p>
      <w:pPr>
        <w:pStyle w:val="Heading3"/>
      </w:pPr>
      <w:r>
        <w:t xml:space="preserve">System Boundary:</w:t>
      </w:r>
    </w:p>
    <w:p>
      <w:pPr>
        <w:pStyle w:val="FirstParagraph"/>
      </w:pPr>
      <w:r>
        <w:t xml:space="preserve">The system boundary for this analysis is "Cradle-to-Grave," encompassing all relevant life cycle stages from raw material acquisition to end-of-life disposal. While the primary production operations are often considered "factory_gate," the comprehensive PCF analysis necessitates extending the boundary to include:</w:t>
      </w:r>
    </w:p>
    <w:p>
      <w:pPr>
        <w:numPr>
          <w:ilvl w:val="0"/>
          <w:numId w:val="1001"/>
        </w:numPr>
        <w:pStyle w:val="Compact"/>
      </w:pPr>
      <w:r>
        <w:t xml:space="preserve">Raw Material Acquisition and Pre-processing</w:t>
      </w:r>
    </w:p>
    <w:p>
      <w:pPr>
        <w:numPr>
          <w:ilvl w:val="0"/>
          <w:numId w:val="1001"/>
        </w:numPr>
        <w:pStyle w:val="Compact"/>
      </w:pPr>
      <w:r>
        <w:t xml:space="preserve">Manufacturing and Production (at the factory gate)</w:t>
      </w:r>
    </w:p>
    <w:p>
      <w:pPr>
        <w:numPr>
          <w:ilvl w:val="0"/>
          <w:numId w:val="1001"/>
        </w:numPr>
        <w:pStyle w:val="Compact"/>
      </w:pPr>
      <w:r>
        <w:t xml:space="preserve">Outbound Logistics (transport to customer)</w:t>
      </w:r>
    </w:p>
    <w:p>
      <w:pPr>
        <w:numPr>
          <w:ilvl w:val="0"/>
          <w:numId w:val="1001"/>
        </w:numPr>
        <w:pStyle w:val="Compact"/>
      </w:pPr>
      <w:r>
        <w:t xml:space="preserve">Product Use Phase</w:t>
      </w:r>
    </w:p>
    <w:p>
      <w:pPr>
        <w:numPr>
          <w:ilvl w:val="0"/>
          <w:numId w:val="1001"/>
        </w:numPr>
        <w:pStyle w:val="Compact"/>
      </w:pPr>
      <w:r>
        <w:t xml:space="preserve">End-of-Life Treatment (disposal/recycling)</w:t>
      </w:r>
    </w:p>
    <w:p>
      <w:pPr>
        <w:pStyle w:val="FirstParagraph"/>
      </w:pPr>
      <w:r>
        <w:t xml:space="preserve">This approach ensures a holistic understanding of the product\'s environmental impact across its entire lifecycle.</w:t>
      </w:r>
    </w:p>
    <w:bookmarkEnd w:id="24"/>
    <w:bookmarkStart w:id="25" w:name="geographic-scope"/>
    <w:p>
      <w:pPr>
        <w:pStyle w:val="Heading3"/>
      </w:pPr>
      <w:r>
        <w:t xml:space="preserve">Geographic Scope:</w:t>
      </w:r>
    </w:p>
    <w:p>
      <w:pPr>
        <w:pStyle w:val="FirstParagraph"/>
      </w:pPr>
      <w:r>
        <w:t xml:space="preserve">The geographic scope covers the entire supply chain. Specifically:</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product distribution/use within Europe).</w:t>
      </w:r>
    </w:p>
    <w:bookmarkEnd w:id="25"/>
    <w:bookmarkStart w:id="26" w:name="allocation"/>
    <w:p>
      <w:pPr>
        <w:pStyle w:val="Heading3"/>
      </w:pPr>
      <w:r>
        <w:t xml:space="preserve">Allocation:</w:t>
      </w:r>
    </w:p>
    <w:p>
      <w:pPr>
        <w:pStyle w:val="FirstParagraph"/>
      </w:pPr>
      <w:r>
        <w:t xml:space="preserve">For this single product PCF, direct allocation is applied where specific data for iydutrzjfx is available. For shared processes (e.g., transport, waste treatment), allocation is performed based on mass. No co-product or recycling allocation credits are applied in the primary calculation of gross emissions; circular economy impacts are discussed qualitatively for conservatism.</w:t>
      </w:r>
    </w:p>
    <w:bookmarkEnd w:id="26"/>
    <w:bookmarkStart w:id="27" w:name="accounting-standard"/>
    <w:p>
      <w:pPr>
        <w:pStyle w:val="Heading3"/>
      </w:pPr>
      <w:r>
        <w:t xml:space="preserve">Accounting Standard:</w:t>
      </w:r>
    </w:p>
    <w:p>
      <w:pPr>
        <w:pStyle w:val="FirstParagraph"/>
      </w:pPr>
      <w:r>
        <w:t xml:space="preserve">This Product Carbon Footprint analysis is conducted in strict accordance with the</w:t>
      </w:r>
      <w:r>
        <w:t xml:space="preserve"> </w:t>
      </w:r>
      <w:r>
        <w:rPr>
          <w:bCs/>
          <w:b/>
        </w:rPr>
        <w:t xml:space="preserve">GHG Protocol (A Corporate Accounting and Reporting Standard)</w:t>
      </w:r>
      <w:r>
        <w:t xml:space="preserve">. Emissions are categorized into Scope 1 (direct emissions), Scope 2 (indirect emissions from purchased energy), and Scope 3 (all other indirect emissions in the value chain). The analysis also considers the principles of the 2026 Land Sector and Removals (LSR) Standard for land use and carbon removals.</w:t>
      </w:r>
    </w:p>
    <w:p>
      <w:r>
        <w:pict>
          <v:rect style="width:0;height:1.5pt" o:hralign="center" o:hrstd="t" o:hr="t"/>
        </w:pict>
      </w:r>
    </w:p>
    <w:bookmarkEnd w:id="27"/>
    <w:bookmarkEnd w:id="28"/>
    <w:bookmarkStart w:id="29" w:name="lifecycle-mapping-lci-inventory-stages"/>
    <w:p>
      <w:pPr>
        <w:pStyle w:val="Heading2"/>
      </w:pPr>
      <w:r>
        <w:t xml:space="preserve">2. Lifecycle Mapping (LCI Inventory Stages)</w:t>
      </w:r>
    </w:p>
    <w:p>
      <w:pPr>
        <w:pStyle w:val="FirstParagraph"/>
      </w:pPr>
      <w:r>
        <w:t xml:space="preserve">The lifecycle of iydutrzjfx has been mapped into five distinct stages, following a typical Cradle-to-Grave approach:</w:t>
      </w:r>
    </w:p>
    <w:p>
      <w:pPr>
        <w:numPr>
          <w:ilvl w:val="0"/>
          <w:numId w:val="1003"/>
        </w:numPr>
        <w:pStyle w:val="Compact"/>
      </w:pPr>
      <w:r>
        <w:rPr>
          <w:bCs/>
          <w:b/>
        </w:rPr>
        <w:t xml:space="preserve">Raw Material Acquisition &amp; Pre-processing:</w:t>
      </w:r>
      <w:r>
        <w:t xml:space="preserve"> </w:t>
      </w:r>
      <w:r>
        <w:t xml:space="preserve">This stage includes the extraction, production, and initial processing of all raw materials used in the product.</w:t>
      </w:r>
    </w:p>
    <w:p>
      <w:pPr>
        <w:numPr>
          <w:ilvl w:val="0"/>
          <w:numId w:val="1003"/>
        </w:numPr>
        <w:pStyle w:val="Compact"/>
      </w:pPr>
      <w:r>
        <w:rPr>
          <w:bCs/>
          <w:b/>
        </w:rPr>
        <w:t xml:space="preserve">Manufacturing/Production:</w:t>
      </w:r>
      <w:r>
        <w:t xml:space="preserve"> </w:t>
      </w:r>
      <w:r>
        <w:t xml:space="preserve">This covers the energy consumption and process emissions occurring at the nwfwmpgosu manufacturing facility in China, up to the factory gate.</w:t>
      </w:r>
    </w:p>
    <w:p>
      <w:pPr>
        <w:numPr>
          <w:ilvl w:val="0"/>
          <w:numId w:val="1003"/>
        </w:numPr>
        <w:pStyle w:val="Compact"/>
      </w:pPr>
      <w:r>
        <w:rPr>
          <w:bCs/>
          <w:b/>
        </w:rPr>
        <w:t xml:space="preserve">Transport (Outbound Logistics):</w:t>
      </w:r>
      <w:r>
        <w:t xml:space="preserve"> </w:t>
      </w:r>
      <w:r>
        <w:t xml:space="preserve">This stage accounts for the emissions associated with transporting the finished product from the manufacturing facility to the customer.</w:t>
      </w:r>
    </w:p>
    <w:p>
      <w:pPr>
        <w:numPr>
          <w:ilvl w:val="0"/>
          <w:numId w:val="1003"/>
        </w:numPr>
        <w:pStyle w:val="Compact"/>
      </w:pPr>
      <w:r>
        <w:rPr>
          <w:bCs/>
          <w:b/>
        </w:rPr>
        <w:t xml:space="preserve">Use Phase:</w:t>
      </w:r>
      <w:r>
        <w:t xml:space="preserve"> </w:t>
      </w:r>
      <w:r>
        <w:t xml:space="preserve">This includes energy consumption during the product\'s active use over its specified lifespan.</w:t>
      </w:r>
    </w:p>
    <w:p>
      <w:pPr>
        <w:numPr>
          <w:ilvl w:val="0"/>
          <w:numId w:val="1003"/>
        </w:numPr>
        <w:pStyle w:val="Compact"/>
      </w:pPr>
      <w:r>
        <w:rPr>
          <w:bCs/>
          <w:b/>
        </w:rPr>
        <w:t xml:space="preserve">End-of-Life (EoL):</w:t>
      </w:r>
      <w:r>
        <w:t xml:space="preserve"> </w:t>
      </w:r>
      <w:r>
        <w:t xml:space="preserve">This stage considers the emissions from disposal and/or recycling processes at the end of the product\'s useful life.</w:t>
      </w:r>
    </w:p>
    <w:p>
      <w:r>
        <w:pict>
          <v:rect style="width:0;height:1.5pt" o:hralign="center" o:hrstd="t" o:hr="t"/>
        </w:pict>
      </w:r>
    </w:p>
    <w:bookmarkEnd w:id="29"/>
    <w:bookmarkStart w:id="35" w:name="X7b6d01ce7b6bfe45f00681616505557cddf238f"/>
    <w:p>
      <w:pPr>
        <w:pStyle w:val="Heading2"/>
      </w:pPr>
      <w:r>
        <w:t xml:space="preserve">3. Data Collection (Primary/Secondary Data Points)</w:t>
      </w:r>
    </w:p>
    <w:p>
      <w:pPr>
        <w:pStyle w:val="FirstParagraph"/>
      </w:pPr>
      <w:r>
        <w:t xml:space="preserve">Data for this PCF analysis was collected from both primary (provided parameters) and secondary (industry-standard emission factors) sources. The aim was to ensure high accuracy, especially for material impacts as per the Detailed Bill of Materials (BOM).</w:t>
      </w:r>
    </w:p>
    <w:bookmarkStart w:id="30" w:name="Xdffd92b7fead82586c2a0354f434f55350b8279"/>
    <w:p>
      <w:pPr>
        <w:pStyle w:val="Heading3"/>
      </w:pPr>
      <w:r>
        <w:t xml:space="preserve">Detailed Bill of Materials (BOM) - zypmneiy:</w:t>
      </w:r>
    </w:p>
    <w:p>
      <w:pPr>
        <w:pStyle w:val="FirstParagraph"/>
      </w:pPr>
      <w:r>
        <w:t xml:space="preserve">The following table presents the detailed Bill of Materials for iydutrzjfx, including the provided \'Total Carbon\' values which are used directly for material impact calculation. These values represent the emissions associated with the acquisition and pre-processing of each material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w:t>
            </w:r>
          </w:p>
        </w:tc>
        <w:tc>
          <w:tcPr/>
          <w:p>
            <w:pPr>
              <w:pStyle w:val="Compact"/>
              <w:jc w:val="left"/>
            </w:pPr>
            <w:r>
              <w:t xml:space="preserve">0.25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Printing &amp; Forming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w:t>
            </w:r>
          </w:p>
        </w:tc>
        <w:tc>
          <w:tcPr/>
          <w:p>
            <w:pPr>
              <w:pStyle w:val="Compact"/>
              <w:jc w:val="left"/>
            </w:pPr>
            <w:r>
              <w:t xml:space="preserve">0.045</w:t>
            </w:r>
          </w:p>
        </w:tc>
      </w:tr>
    </w:tbl>
    <w:bookmarkEnd w:id="30"/>
    <w:bookmarkStart w:id="31" w:name="energy-inputs-production-phase"/>
    <w:p>
      <w:pPr>
        <w:pStyle w:val="Heading3"/>
      </w:pPr>
      <w:r>
        <w:t xml:space="preserve">Energy Inputs (Production Phase):</w:t>
      </w:r>
    </w:p>
    <w:p>
      <w:pPr>
        <w:numPr>
          <w:ilvl w:val="0"/>
          <w:numId w:val="1004"/>
        </w:numPr>
        <w:pStyle w:val="Compact"/>
      </w:pPr>
      <w:r>
        <w:rPr>
          <w:bCs/>
          <w:b/>
        </w:rPr>
        <w:t xml:space="preserve">Renewable Energy Usage:</w:t>
      </w:r>
      <w:r>
        <w:t xml:space="preserve"> </w:t>
      </w:r>
      <w:r>
        <w:t xml:space="preserve">fpdriektmj%</w:t>
      </w:r>
    </w:p>
    <w:p>
      <w:pPr>
        <w:numPr>
          <w:ilvl w:val="0"/>
          <w:numId w:val="1004"/>
        </w:numPr>
        <w:pStyle w:val="Compact"/>
      </w:pPr>
      <w:r>
        <w:rPr>
          <w:bCs/>
          <w:b/>
        </w:rPr>
        <w:t xml:space="preserve">Energy Intensity (kWh/unit):</w:t>
      </w:r>
      <w:r>
        <w:t xml:space="preserve"> </w:t>
      </w:r>
      <w:r>
        <w:t xml:space="preserve">iknzsfpfhy kWh/unit</w:t>
      </w:r>
    </w:p>
    <w:p>
      <w:pPr>
        <w:numPr>
          <w:ilvl w:val="0"/>
          <w:numId w:val="1004"/>
        </w:numPr>
        <w:pStyle w:val="Compact"/>
      </w:pPr>
      <w:r>
        <w:rPr>
          <w:bCs/>
          <w:b/>
        </w:rPr>
        <w:t xml:space="preserve">Electricity Grid Emission Factor (China):</w:t>
      </w:r>
      <w:r>
        <w:t xml:space="preserve"> </w:t>
      </w:r>
      <w:r>
        <w:t xml:space="preserve">0.5 kgCO2e/kWh (estimated for 2026, based on IEA forecasts and recent market trends)</w:t>
      </w:r>
    </w:p>
    <w:bookmarkEnd w:id="31"/>
    <w:bookmarkStart w:id="32" w:name="logistics-data"/>
    <w:p>
      <w:pPr>
        <w:pStyle w:val="Heading3"/>
      </w:pPr>
      <w:r>
        <w:t xml:space="preserve">Logistics Data:</w:t>
      </w:r>
    </w:p>
    <w:p>
      <w:pPr>
        <w:numPr>
          <w:ilvl w:val="0"/>
          <w:numId w:val="1005"/>
        </w:numPr>
        <w:pStyle w:val="Compact"/>
      </w:pPr>
      <w:r>
        <w:rPr>
          <w:bCs/>
          <w:b/>
        </w:rPr>
        <w:t xml:space="preserve">Transport Mode (Primary):</w:t>
      </w:r>
      <w:r>
        <w:t xml:space="preserve"> </w:t>
      </w:r>
      <w:r>
        <w:t xml:space="preserve">Select Mode (Ocean Freight)</w:t>
      </w:r>
    </w:p>
    <w:p>
      <w:pPr>
        <w:numPr>
          <w:ilvl w:val="0"/>
          <w:numId w:val="1005"/>
        </w:numPr>
        <w:pStyle w:val="Compact"/>
      </w:pPr>
      <w:r>
        <w:rPr>
          <w:bCs/>
          <w:b/>
        </w:rPr>
        <w:t xml:space="preserve">Transport Distance (Primary):</w:t>
      </w:r>
      <w:r>
        <w:t xml:space="preserve"> </w:t>
      </w:r>
      <w:r>
        <w:t xml:space="preserve">xyowuswhmf km (15,000 km)</w:t>
      </w:r>
    </w:p>
    <w:p>
      <w:pPr>
        <w:numPr>
          <w:ilvl w:val="0"/>
          <w:numId w:val="1005"/>
        </w:numPr>
        <w:pStyle w:val="Compact"/>
      </w:pPr>
      <w:r>
        <w:rPr>
          <w:bCs/>
          <w:b/>
        </w:rPr>
        <w:t xml:space="preserve">Last-Mile Delivery Channel:</w:t>
      </w:r>
      <w:r>
        <w:t xml:space="preserve"> </w:t>
      </w:r>
      <w:r>
        <w:t xml:space="preserve">Delivery Type (Road Freight - Heavy Duty Truck)</w:t>
      </w:r>
    </w:p>
    <w:p>
      <w:pPr>
        <w:numPr>
          <w:ilvl w:val="0"/>
          <w:numId w:val="1005"/>
        </w:numPr>
        <w:pStyle w:val="Compact"/>
      </w:pPr>
      <w:r>
        <w:rPr>
          <w:bCs/>
          <w:b/>
        </w:rPr>
        <w:t xml:space="preserve">Assumed Last-Mile Distance:</w:t>
      </w:r>
      <w:r>
        <w:t xml:space="preserve"> </w:t>
      </w:r>
      <w:r>
        <w:t xml:space="preserve">500 km (standard assumption for a typical last-mile delivery)</w:t>
      </w:r>
    </w:p>
    <w:p>
      <w:pPr>
        <w:numPr>
          <w:ilvl w:val="0"/>
          <w:numId w:val="1005"/>
        </w:numPr>
        <w:pStyle w:val="Compact"/>
      </w:pPr>
      <w:r>
        <w:rPr>
          <w:bCs/>
          <w:b/>
        </w:rPr>
        <w:t xml:space="preserve">Assumed Product Weight for Transport:</w:t>
      </w:r>
      <w:r>
        <w:t xml:space="preserve"> </w:t>
      </w:r>
      <w:r>
        <w:t xml:space="preserve">1.0 kg (as the sum of BOM quantities does not directly represent the shipping weight, a reasonable product weight for transport calculations has been assumed)</w:t>
      </w:r>
    </w:p>
    <w:p>
      <w:pPr>
        <w:numPr>
          <w:ilvl w:val="0"/>
          <w:numId w:val="1005"/>
        </w:numPr>
        <w:pStyle w:val="Compact"/>
      </w:pPr>
      <w:r>
        <w:rPr>
          <w:bCs/>
          <w:b/>
        </w:rPr>
        <w:t xml:space="preserve">Ocean Freight Emission Factor:</w:t>
      </w:r>
      <w:r>
        <w:t xml:space="preserve"> </w:t>
      </w:r>
      <w:r>
        <w:t xml:space="preserve">0.000015 kgCO2e/kg-km (15 gCO2e/tonne-km)</w:t>
      </w:r>
    </w:p>
    <w:p>
      <w:pPr>
        <w:numPr>
          <w:ilvl w:val="0"/>
          <w:numId w:val="1005"/>
        </w:numPr>
        <w:pStyle w:val="Compact"/>
      </w:pPr>
      <w:r>
        <w:rPr>
          <w:bCs/>
          <w:b/>
        </w:rPr>
        <w:t xml:space="preserve">Road Freight Emission Factor (Heavy Duty Truck, Europe):</w:t>
      </w:r>
      <w:r>
        <w:t xml:space="preserve"> </w:t>
      </w:r>
      <w:r>
        <w:t xml:space="preserve">0.00013 kgCO2e/kg-km (130 gCO2e/tonne-km)</w:t>
      </w:r>
    </w:p>
    <w:bookmarkEnd w:id="32"/>
    <w:bookmarkStart w:id="33" w:name="use-phase-data"/>
    <w:p>
      <w:pPr>
        <w:pStyle w:val="Heading3"/>
      </w:pPr>
      <w:r>
        <w:t xml:space="preserve">Use Phase Data:</w:t>
      </w:r>
    </w:p>
    <w:p>
      <w:pPr>
        <w:numPr>
          <w:ilvl w:val="0"/>
          <w:numId w:val="1006"/>
        </w:numPr>
        <w:pStyle w:val="Compact"/>
      </w:pPr>
      <w:r>
        <w:rPr>
          <w:bCs/>
          <w:b/>
        </w:rPr>
        <w:t xml:space="preserve">Product Lifespan:</w:t>
      </w:r>
      <w:r>
        <w:t xml:space="preserve"> </w:t>
      </w:r>
      <w:r>
        <w:t xml:space="preserve">neritehgmm years (5 years)</w:t>
      </w:r>
    </w:p>
    <w:p>
      <w:pPr>
        <w:numPr>
          <w:ilvl w:val="0"/>
          <w:numId w:val="1006"/>
        </w:numPr>
        <w:pStyle w:val="Compact"/>
      </w:pPr>
      <w:r>
        <w:rPr>
          <w:bCs/>
          <w:b/>
        </w:rPr>
        <w:t xml:space="preserve">Energy Consumption in Use:</w:t>
      </w:r>
      <w:r>
        <w:t xml:space="preserve"> </w:t>
      </w:r>
      <w:r>
        <w:t xml:space="preserve">yhnetjyzrw kWh/year (10 kWh/year)</w:t>
      </w:r>
    </w:p>
    <w:p>
      <w:pPr>
        <w:numPr>
          <w:ilvl w:val="0"/>
          <w:numId w:val="1006"/>
        </w:numPr>
        <w:pStyle w:val="Compact"/>
      </w:pPr>
      <w:r>
        <w:rPr>
          <w:bCs/>
          <w:b/>
        </w:rPr>
        <w:t xml:space="preserve">Electricity Grid Emission Factor (Europe Average):</w:t>
      </w:r>
      <w:r>
        <w:t xml:space="preserve"> </w:t>
      </w:r>
      <w:r>
        <w:t xml:space="preserve">0.2 kgCO2e/kWh (estimated for 2026, reflecting significant decarbonization trends in the EU)</w:t>
      </w:r>
    </w:p>
    <w:bookmarkEnd w:id="33"/>
    <w:bookmarkStart w:id="34" w:name="end-of-life-eol-data"/>
    <w:p>
      <w:pPr>
        <w:pStyle w:val="Heading3"/>
      </w:pPr>
      <w:r>
        <w:t xml:space="preserve">End-of-Life (EoL) Data:</w:t>
      </w:r>
    </w:p>
    <w:p>
      <w:pPr>
        <w:numPr>
          <w:ilvl w:val="0"/>
          <w:numId w:val="1007"/>
        </w:numPr>
        <w:pStyle w:val="Compact"/>
      </w:pPr>
      <w:r>
        <w:rPr>
          <w:bCs/>
          <w:b/>
        </w:rPr>
        <w:t xml:space="preserve">Recyclability Percentage:</w:t>
      </w:r>
      <w:r>
        <w:t xml:space="preserve"> </w:t>
      </w:r>
      <w:r>
        <w:t xml:space="preserve">rutpjuuwwn% (80%)</w:t>
      </w:r>
    </w:p>
    <w:p>
      <w:pPr>
        <w:numPr>
          <w:ilvl w:val="0"/>
          <w:numId w:val="1007"/>
        </w:numPr>
        <w:pStyle w:val="Compact"/>
      </w:pPr>
      <w:r>
        <w:rPr>
          <w:bCs/>
          <w:b/>
        </w:rPr>
        <w:t xml:space="preserve">Circular/Take-back Programs:</w:t>
      </w:r>
      <w:r>
        <w:t xml:space="preserve"> </w:t>
      </w:r>
      <w:r>
        <w:t xml:space="preserve">ujqvdfhijn (Product Refurbishment Program)</w:t>
      </w:r>
    </w:p>
    <w:p>
      <w:pPr>
        <w:numPr>
          <w:ilvl w:val="0"/>
          <w:numId w:val="1007"/>
        </w:numPr>
        <w:pStyle w:val="Compact"/>
      </w:pPr>
      <w:r>
        <w:rPr>
          <w:bCs/>
          <w:b/>
        </w:rPr>
        <w:t xml:space="preserve">Landfilling Emission Factor (Mixed Waste):</w:t>
      </w:r>
      <w:r>
        <w:t xml:space="preserve"> </w:t>
      </w:r>
      <w:r>
        <w:t xml:space="preserve">0.3 kgCO2e/kg</w:t>
      </w:r>
    </w:p>
    <w:p>
      <w:r>
        <w:pict>
          <v:rect style="width:0;height:1.5pt" o:hralign="center" o:hrstd="t" o:hr="t"/>
        </w:pict>
      </w:r>
    </w:p>
    <w:bookmarkEnd w:id="34"/>
    <w:bookmarkEnd w:id="35"/>
    <w:bookmarkStart w:id="43" w:name="calculate-emissions"/>
    <w:p>
      <w:pPr>
        <w:pStyle w:val="Heading2"/>
      </w:pPr>
      <w:r>
        <w:t xml:space="preserve">4. Calculate Emissions</w:t>
      </w:r>
    </w:p>
    <w:p>
      <w:pPr>
        <w:pStyle w:val="FirstParagraph"/>
      </w:pPr>
      <w:r>
        <w:t xml:space="preserve">This section details the calculation of greenhouse gas emissions for each life cycle stage, categorized by GHG Protocol scopes.</w:t>
      </w:r>
    </w:p>
    <w:bookmarkStart w:id="36" w:name="summary-of-emission-factors-used"/>
    <w:p>
      <w:pPr>
        <w:pStyle w:val="Heading3"/>
      </w:pPr>
      <w:r>
        <w:t xml:space="preserve">Summary of Emission Factors Used:</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 (kgCO2e/unit or kgCO2e/kWh or kgCO2e/kg-km)</w:t>
            </w:r>
          </w:p>
        </w:tc>
        <w:tc>
          <w:tcPr/>
          <w:p>
            <w:pPr>
              <w:pStyle w:val="Compact"/>
              <w:jc w:val="left"/>
            </w:pPr>
            <w:r>
              <w:t xml:space="preserve">Source / Basis</w:t>
            </w:r>
          </w:p>
        </w:tc>
      </w:tr>
      <w:tr>
        <w:tc>
          <w:tcPr/>
          <w:p>
            <w:pPr>
              <w:pStyle w:val="Compact"/>
              <w:jc w:val="left"/>
            </w:pPr>
            <w:r>
              <w:t xml:space="preserve">Electricity (China Grid Mix)</w:t>
            </w:r>
          </w:p>
        </w:tc>
        <w:tc>
          <w:tcPr/>
          <w:p>
            <w:pPr>
              <w:pStyle w:val="Compact"/>
              <w:jc w:val="left"/>
            </w:pPr>
            <w:r>
              <w:t xml:space="preserve">For production phase (non-renewable)</w:t>
            </w:r>
          </w:p>
        </w:tc>
        <w:tc>
          <w:tcPr/>
          <w:p>
            <w:pPr>
              <w:pStyle w:val="Compact"/>
              <w:jc w:val="left"/>
            </w:pPr>
            <w:r>
              <w:t xml:space="preserve">0.5 kgCO2e/kWh</w:t>
            </w:r>
          </w:p>
        </w:tc>
        <w:tc>
          <w:tcPr/>
          <w:p>
            <w:pPr>
              <w:pStyle w:val="Compact"/>
              <w:jc w:val="left"/>
            </w:pPr>
            <w:r>
              <w:t xml:space="preserve">IEA forecasts, adjusted for 2026 complexity</w:t>
            </w:r>
          </w:p>
        </w:tc>
      </w:tr>
      <w:tr>
        <w:tc>
          <w:tcPr/>
          <w:p>
            <w:pPr>
              <w:pStyle w:val="Compact"/>
              <w:jc w:val="left"/>
            </w:pPr>
            <w:r>
              <w:t xml:space="preserve">Electricity (Europe Grid Mix)</w:t>
            </w:r>
          </w:p>
        </w:tc>
        <w:tc>
          <w:tcPr/>
          <w:p>
            <w:pPr>
              <w:pStyle w:val="Compact"/>
              <w:jc w:val="left"/>
            </w:pPr>
            <w:r>
              <w:t xml:space="preserve">For use phase</w:t>
            </w:r>
          </w:p>
        </w:tc>
        <w:tc>
          <w:tcPr/>
          <w:p>
            <w:pPr>
              <w:pStyle w:val="Compact"/>
              <w:jc w:val="left"/>
            </w:pPr>
            <w:r>
              <w:t xml:space="preserve">0.2 kgCO2e/kWh</w:t>
            </w:r>
          </w:p>
        </w:tc>
        <w:tc>
          <w:tcPr/>
          <w:p>
            <w:pPr>
              <w:pStyle w:val="Compact"/>
              <w:jc w:val="left"/>
            </w:pPr>
            <w:r>
              <w:t xml:space="preserve">IEA forecasts, adjusted for 2026 decarbonization</w:t>
            </w:r>
          </w:p>
        </w:tc>
      </w:tr>
      <w:tr>
        <w:tc>
          <w:tcPr/>
          <w:p>
            <w:pPr>
              <w:pStyle w:val="Compact"/>
              <w:jc w:val="left"/>
            </w:pPr>
            <w:r>
              <w:t xml:space="preserve">Ocean Freight</w:t>
            </w:r>
          </w:p>
        </w:tc>
        <w:tc>
          <w:tcPr/>
          <w:p>
            <w:pPr>
              <w:pStyle w:val="Compact"/>
              <w:jc w:val="left"/>
            </w:pPr>
            <w:r>
              <w:t xml:space="preserve">Per kg-km (container ship average)</w:t>
            </w:r>
          </w:p>
        </w:tc>
        <w:tc>
          <w:tcPr/>
          <w:p>
            <w:pPr>
              <w:pStyle w:val="Compact"/>
              <w:jc w:val="left"/>
            </w:pPr>
            <w:r>
              <w:t xml:space="preserve">0.000015 kgCO2e/kg-km (15 gCO2e/tonne-km)</w:t>
            </w:r>
          </w:p>
        </w:tc>
        <w:tc>
          <w:tcPr/>
          <w:p>
            <w:pPr>
              <w:pStyle w:val="Compact"/>
              <w:jc w:val="left"/>
            </w:pPr>
            <w:r>
              <w:t xml:space="preserve">FreightAmigo, The Green Tank</w:t>
            </w:r>
          </w:p>
        </w:tc>
      </w:tr>
      <w:tr>
        <w:tc>
          <w:tcPr/>
          <w:p>
            <w:pPr>
              <w:pStyle w:val="Compact"/>
              <w:jc w:val="left"/>
            </w:pPr>
            <w:r>
              <w:t xml:space="preserve">Road Freight (Heavy Duty Truck, Europe)</w:t>
            </w:r>
          </w:p>
        </w:tc>
        <w:tc>
          <w:tcPr/>
          <w:p>
            <w:pPr>
              <w:pStyle w:val="Compact"/>
              <w:jc w:val="left"/>
            </w:pPr>
            <w:r>
              <w:t xml:space="preserve">Per kg-km (average/mixed load)</w:t>
            </w:r>
          </w:p>
        </w:tc>
        <w:tc>
          <w:tcPr/>
          <w:p>
            <w:pPr>
              <w:pStyle w:val="Compact"/>
              <w:jc w:val="left"/>
            </w:pPr>
            <w:r>
              <w:t xml:space="preserve">0.00013 kgCO2e/kg-km (130 gCO2e/tonne-km)</w:t>
            </w:r>
          </w:p>
        </w:tc>
        <w:tc>
          <w:tcPr/>
          <w:p>
            <w:pPr>
              <w:pStyle w:val="Compact"/>
              <w:jc w:val="left"/>
            </w:pPr>
            <w:r>
              <w:t xml:space="preserve">GLEC Framework</w:t>
            </w:r>
          </w:p>
        </w:tc>
      </w:tr>
      <w:tr>
        <w:tc>
          <w:tcPr/>
          <w:p>
            <w:pPr>
              <w:pStyle w:val="Compact"/>
              <w:jc w:val="left"/>
            </w:pPr>
            <w:r>
              <w:t xml:space="preserve">Landfilling (Mixed Waste)</w:t>
            </w:r>
          </w:p>
        </w:tc>
        <w:tc>
          <w:tcPr/>
          <w:p>
            <w:pPr>
              <w:pStyle w:val="Compact"/>
              <w:jc w:val="left"/>
            </w:pPr>
            <w:r>
              <w:t xml:space="preserve">Per kg of non-recycled waste</w:t>
            </w:r>
          </w:p>
        </w:tc>
        <w:tc>
          <w:tcPr/>
          <w:p>
            <w:pPr>
              <w:pStyle w:val="Compact"/>
              <w:jc w:val="left"/>
            </w:pPr>
            <w:r>
              <w:t xml:space="preserve">0.3 kgCO2e/kg</w:t>
            </w:r>
          </w:p>
        </w:tc>
        <w:tc>
          <w:tcPr/>
          <w:p>
            <w:pPr>
              <w:pStyle w:val="Compact"/>
              <w:jc w:val="left"/>
            </w:pPr>
            <w:r>
              <w:t xml:space="preserve">Afvalzorg</w:t>
            </w:r>
          </w:p>
        </w:tc>
      </w:tr>
    </w:tbl>
    <w:bookmarkEnd w:id="36"/>
    <w:bookmarkStart w:id="42" w:name="detailed-emission-calculations"/>
    <w:p>
      <w:pPr>
        <w:pStyle w:val="Heading3"/>
      </w:pPr>
      <w:r>
        <w:t xml:space="preserve">Detailed Emission Calculations:</w:t>
      </w:r>
    </w:p>
    <w:bookmarkStart w:id="37" w:name="Xff31e690bfe279af69cf88b9219fe5d56042afb"/>
    <w:p>
      <w:pPr>
        <w:pStyle w:val="Heading4"/>
      </w:pPr>
      <w:r>
        <w:t xml:space="preserve">4.1. Raw Material Acquisition &amp; Pre-processing (Scope 3 - Upstream)</w:t>
      </w:r>
    </w:p>
    <w:p>
      <w:pPr>
        <w:pStyle w:val="FirstParagraph"/>
      </w:pPr>
      <w:r>
        <w:t xml:space="preserve">Emissions from materials are directly taken from the \'Total Carbon\' column in the provided Bill of Materials, representing the carbon footprint of each component up to its ready-to-use state.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Plastic Casing</w:t>
            </w:r>
          </w:p>
        </w:tc>
        <w:tc>
          <w:tcPr/>
          <w:p>
            <w:pPr>
              <w:pStyle w:val="Compact"/>
              <w:jc w:val="left"/>
            </w:pPr>
            <w:r>
              <w:t xml:space="preserve">0.25</w:t>
            </w:r>
          </w:p>
        </w:tc>
      </w:tr>
      <w:tr>
        <w:tc>
          <w:tcPr/>
          <w:p>
            <w:pPr>
              <w:pStyle w:val="Compact"/>
              <w:jc w:val="left"/>
            </w:pPr>
            <w:r>
              <w:t xml:space="preserve">Copper Wire</w:t>
            </w:r>
          </w:p>
        </w:tc>
        <w:tc>
          <w:tcPr/>
          <w:p>
            <w:pPr>
              <w:pStyle w:val="Compact"/>
              <w:jc w:val="left"/>
            </w:pPr>
            <w:r>
              <w:t xml:space="preserve">0.25</w:t>
            </w:r>
          </w:p>
        </w:tc>
      </w:tr>
      <w:tr>
        <w:tc>
          <w:tcPr/>
          <w:p>
            <w:pPr>
              <w:pStyle w:val="Compact"/>
              <w:jc w:val="left"/>
            </w:pPr>
            <w:r>
              <w:t xml:space="preserve">Circuit Board</w:t>
            </w:r>
          </w:p>
        </w:tc>
        <w:tc>
          <w:tcPr/>
          <w:p>
            <w:pPr>
              <w:pStyle w:val="Compact"/>
              <w:jc w:val="left"/>
            </w:pPr>
            <w:r>
              <w:t xml:space="preserve">0.20</w:t>
            </w:r>
          </w:p>
        </w:tc>
      </w:tr>
      <w:tr>
        <w:tc>
          <w:tcPr/>
          <w:p>
            <w:pPr>
              <w:pStyle w:val="Compact"/>
              <w:jc w:val="left"/>
            </w:pPr>
            <w:r>
              <w:t xml:space="preserve">Packaging (Cardboard)</w:t>
            </w:r>
          </w:p>
        </w:tc>
        <w:tc>
          <w:tcPr/>
          <w:p>
            <w:pPr>
              <w:pStyle w:val="Compact"/>
              <w:jc w:val="left"/>
            </w:pPr>
            <w:r>
              <w:t xml:space="preserve">0.045</w:t>
            </w:r>
          </w:p>
        </w:tc>
      </w:tr>
      <w:tr>
        <w:tc>
          <w:tcPr/>
          <w:p>
            <w:pPr>
              <w:pStyle w:val="Compact"/>
              <w:jc w:val="left"/>
            </w:pPr>
            <w:r>
              <w:rPr>
                <w:bCs/>
                <w:b/>
              </w:rPr>
              <w:t xml:space="preserve">Total Material Emissions</w:t>
            </w:r>
          </w:p>
        </w:tc>
        <w:tc>
          <w:tcPr/>
          <w:p>
            <w:pPr>
              <w:pStyle w:val="Compact"/>
              <w:jc w:val="left"/>
            </w:pPr>
            <w:r>
              <w:rPr>
                <w:bCs/>
                <w:b/>
              </w:rPr>
              <w:t xml:space="preserve">0.745 kgCO2e</w:t>
            </w:r>
          </w:p>
        </w:tc>
      </w:tr>
    </w:tbl>
    <w:bookmarkEnd w:id="37"/>
    <w:bookmarkStart w:id="38" w:name="manufacturingproduction-scope-2"/>
    <w:p>
      <w:pPr>
        <w:pStyle w:val="Heading4"/>
      </w:pPr>
      <w:r>
        <w:t xml:space="preserve">4.2. Manufacturing/Production (Scope 2)</w:t>
      </w:r>
    </w:p>
    <w:p>
      <w:pPr>
        <w:pStyle w:val="FirstParagraph"/>
      </w:pPr>
      <w:r>
        <w:t xml:space="preserve">Emissions from the production phase are primarily due to purchased electricity. The renewable energy usage reduces the grid electricity demand for emissions calculation.</w:t>
      </w:r>
    </w:p>
    <w:p>
      <w:pPr>
        <w:numPr>
          <w:ilvl w:val="0"/>
          <w:numId w:val="1008"/>
        </w:numPr>
        <w:pStyle w:val="Compact"/>
      </w:pPr>
      <w:r>
        <w:t xml:space="preserve">Total Energy Intensity: 1.5 kWh/unit</w:t>
      </w:r>
    </w:p>
    <w:p>
      <w:pPr>
        <w:numPr>
          <w:ilvl w:val="0"/>
          <w:numId w:val="1008"/>
        </w:numPr>
        <w:pStyle w:val="Compact"/>
      </w:pPr>
      <w:r>
        <w:t xml:space="preserve">Renewable Energy Usage: 60%</w:t>
      </w:r>
    </w:p>
    <w:p>
      <w:pPr>
        <w:numPr>
          <w:ilvl w:val="0"/>
          <w:numId w:val="1008"/>
        </w:numPr>
        <w:pStyle w:val="Compact"/>
      </w:pPr>
      <w:r>
        <w:t xml:space="preserve">Non-renewable Energy: 1.5 kWh/unit * (1 - 0.60) = 0.6 kWh/unit</w:t>
      </w:r>
    </w:p>
    <w:p>
      <w:pPr>
        <w:numPr>
          <w:ilvl w:val="0"/>
          <w:numId w:val="1008"/>
        </w:numPr>
        <w:pStyle w:val="Compact"/>
      </w:pPr>
      <w:r>
        <w:t xml:space="preserve">China Grid Emission Factor: 0.5 kgCO2e/kWh</w:t>
      </w:r>
    </w:p>
    <w:p>
      <w:pPr>
        <w:numPr>
          <w:ilvl w:val="0"/>
          <w:numId w:val="1008"/>
        </w:numPr>
        <w:pStyle w:val="Compact"/>
      </w:pPr>
      <w:r>
        <w:rPr>
          <w:bCs/>
          <w:b/>
        </w:rPr>
        <w:t xml:space="preserve">Production Energy Emissions:</w:t>
      </w:r>
      <w:r>
        <w:t xml:space="preserve"> </w:t>
      </w:r>
      <w:r>
        <w:t xml:space="preserve">0.6 kWh/unit * 0.5 kgCO2e/kWh =</w:t>
      </w:r>
      <w:r>
        <w:t xml:space="preserve"> </w:t>
      </w:r>
      <w:r>
        <w:rPr>
          <w:bCs/>
          <w:b/>
        </w:rPr>
        <w:t xml:space="preserve">0.30 kgCO2e/unit</w:t>
      </w:r>
    </w:p>
    <w:bookmarkEnd w:id="38"/>
    <w:bookmarkStart w:id="39" w:name="X5dbaf97a4390f27559f749ff2eb97100c581769"/>
    <w:p>
      <w:pPr>
        <w:pStyle w:val="Heading4"/>
      </w:pPr>
      <w:r>
        <w:t xml:space="preserve">4.3. Transport (Outbound Logistics) (Scope 3 - Downstream)</w:t>
      </w:r>
    </w:p>
    <w:p>
      <w:pPr>
        <w:pStyle w:val="FirstParagraph"/>
      </w:pPr>
      <w:r>
        <w:t xml:space="preserve">Transport emissions are calculated for the assumed 1.0 kg product weight, covering both primary ocean freight and last-mile road freight.</w:t>
      </w:r>
    </w:p>
    <w:p>
      <w:pPr>
        <w:numPr>
          <w:ilvl w:val="0"/>
          <w:numId w:val="1009"/>
        </w:numPr>
        <w:pStyle w:val="Compact"/>
      </w:pPr>
      <w:r>
        <w:t xml:space="preserve">Product Weight (Assumed): 1.0 kg</w:t>
      </w:r>
    </w:p>
    <w:p>
      <w:pPr>
        <w:numPr>
          <w:ilvl w:val="0"/>
          <w:numId w:val="1009"/>
        </w:numPr>
        <w:pStyle w:val="Compact"/>
      </w:pPr>
      <w:r>
        <w:t xml:space="preserve">Primary Transport (Ocean Freight):</w:t>
      </w:r>
    </w:p>
    <w:p>
      <w:pPr>
        <w:numPr>
          <w:ilvl w:val="1"/>
          <w:numId w:val="1010"/>
        </w:numPr>
        <w:pStyle w:val="Compact"/>
      </w:pPr>
      <w:r>
        <w:t xml:space="preserve">Distance: 15,000 km</w:t>
      </w:r>
    </w:p>
    <w:p>
      <w:pPr>
        <w:numPr>
          <w:ilvl w:val="1"/>
          <w:numId w:val="1010"/>
        </w:numPr>
        <w:pStyle w:val="Compact"/>
      </w:pPr>
      <w:r>
        <w:t xml:space="preserve">Emission Factor: 0.000015 kgCO2e/kg-km</w:t>
      </w:r>
    </w:p>
    <w:p>
      <w:pPr>
        <w:numPr>
          <w:ilvl w:val="1"/>
          <w:numId w:val="1010"/>
        </w:numPr>
        <w:pStyle w:val="Compact"/>
      </w:pPr>
      <w:r>
        <w:t xml:space="preserve">Emissions: 1.0 kg * 15,000 km * 0.000015 kgCO2e/kg-km =</w:t>
      </w:r>
      <w:r>
        <w:t xml:space="preserve"> </w:t>
      </w:r>
      <w:r>
        <w:rPr>
          <w:bCs/>
          <w:b/>
        </w:rPr>
        <w:t xml:space="preserve">0.225 kgCO2e</w:t>
      </w:r>
    </w:p>
    <w:p>
      <w:pPr>
        <w:numPr>
          <w:ilvl w:val="0"/>
          <w:numId w:val="1009"/>
        </w:numPr>
        <w:pStyle w:val="Compact"/>
      </w:pPr>
      <w:r>
        <w:t xml:space="preserve">Last-Mile Delivery (Road Freight - Heavy Duty Truck):</w:t>
      </w:r>
    </w:p>
    <w:p>
      <w:pPr>
        <w:numPr>
          <w:ilvl w:val="1"/>
          <w:numId w:val="1011"/>
        </w:numPr>
        <w:pStyle w:val="Compact"/>
      </w:pPr>
      <w:r>
        <w:t xml:space="preserve">Assumed Distance: 500 km</w:t>
      </w:r>
    </w:p>
    <w:p>
      <w:pPr>
        <w:numPr>
          <w:ilvl w:val="1"/>
          <w:numId w:val="1011"/>
        </w:numPr>
        <w:pStyle w:val="Compact"/>
      </w:pPr>
      <w:r>
        <w:t xml:space="preserve">Emission Factor: 0.00013 kgCO2e/kg-km</w:t>
      </w:r>
    </w:p>
    <w:p>
      <w:pPr>
        <w:numPr>
          <w:ilvl w:val="1"/>
          <w:numId w:val="1011"/>
        </w:numPr>
        <w:pStyle w:val="Compact"/>
      </w:pPr>
      <w:r>
        <w:t xml:space="preserve">Emissions: 1.0 kg * 500 km * 0.00013 kgCO2e/kg-km =</w:t>
      </w:r>
      <w:r>
        <w:t xml:space="preserve"> </w:t>
      </w:r>
      <w:r>
        <w:rPr>
          <w:bCs/>
          <w:b/>
        </w:rPr>
        <w:t xml:space="preserve">0.065 kgCO2e</w:t>
      </w:r>
    </w:p>
    <w:p>
      <w:pPr>
        <w:numPr>
          <w:ilvl w:val="0"/>
          <w:numId w:val="1009"/>
        </w:numPr>
        <w:pStyle w:val="Compact"/>
      </w:pPr>
      <w:r>
        <w:rPr>
          <w:bCs/>
          <w:b/>
        </w:rPr>
        <w:t xml:space="preserve">Total Transport Emissions:</w:t>
      </w:r>
      <w:r>
        <w:t xml:space="preserve"> </w:t>
      </w:r>
      <w:r>
        <w:t xml:space="preserve">0.225 kgCO2e + 0.065 kgCO2e =</w:t>
      </w:r>
      <w:r>
        <w:t xml:space="preserve"> </w:t>
      </w:r>
      <w:r>
        <w:rPr>
          <w:bCs/>
          <w:b/>
        </w:rPr>
        <w:t xml:space="preserve">0.29 kgCO2e/unit</w:t>
      </w:r>
    </w:p>
    <w:bookmarkEnd w:id="39"/>
    <w:bookmarkStart w:id="40" w:name="use-phase-scope-3---downstream"/>
    <w:p>
      <w:pPr>
        <w:pStyle w:val="Heading4"/>
      </w:pPr>
      <w:r>
        <w:t xml:space="preserve">4.4. Use Phase (Scope 3 - Downstream)</w:t>
      </w:r>
    </w:p>
    <w:p>
      <w:pPr>
        <w:pStyle w:val="FirstParagraph"/>
      </w:pPr>
      <w:r>
        <w:t xml:space="preserve">The use phase accounts for the energy consumed by the product over its entire lifespan.</w:t>
      </w:r>
    </w:p>
    <w:p>
      <w:pPr>
        <w:numPr>
          <w:ilvl w:val="0"/>
          <w:numId w:val="1012"/>
        </w:numPr>
        <w:pStyle w:val="Compact"/>
      </w:pPr>
      <w:r>
        <w:t xml:space="preserve">Product Lifespan: 5 years</w:t>
      </w:r>
    </w:p>
    <w:p>
      <w:pPr>
        <w:numPr>
          <w:ilvl w:val="0"/>
          <w:numId w:val="1012"/>
        </w:numPr>
        <w:pStyle w:val="Compact"/>
      </w:pPr>
      <w:r>
        <w:t xml:space="preserve">Energy Consumption in Use: 10 kWh/year</w:t>
      </w:r>
    </w:p>
    <w:p>
      <w:pPr>
        <w:numPr>
          <w:ilvl w:val="0"/>
          <w:numId w:val="1012"/>
        </w:numPr>
        <w:pStyle w:val="Compact"/>
      </w:pPr>
      <w:r>
        <w:t xml:space="preserve">Total Energy Consumption over Lifespan: 10 kWh/year * 5 years = 50 kWh</w:t>
      </w:r>
    </w:p>
    <w:p>
      <w:pPr>
        <w:numPr>
          <w:ilvl w:val="0"/>
          <w:numId w:val="1012"/>
        </w:numPr>
        <w:pStyle w:val="Compact"/>
      </w:pPr>
      <w:r>
        <w:t xml:space="preserve">Europe Grid Emission Factor: 0.2 kgCO2e/kWh</w:t>
      </w:r>
    </w:p>
    <w:p>
      <w:pPr>
        <w:numPr>
          <w:ilvl w:val="0"/>
          <w:numId w:val="1012"/>
        </w:numPr>
        <w:pStyle w:val="Compact"/>
      </w:pPr>
      <w:r>
        <w:rPr>
          <w:bCs/>
          <w:b/>
        </w:rPr>
        <w:t xml:space="preserve">Use Phase Emissions:</w:t>
      </w:r>
      <w:r>
        <w:t xml:space="preserve"> </w:t>
      </w:r>
      <w:r>
        <w:t xml:space="preserve">50 kWh * 0.2 kgCO2e/kWh =</w:t>
      </w:r>
      <w:r>
        <w:t xml:space="preserve"> </w:t>
      </w:r>
      <w:r>
        <w:rPr>
          <w:bCs/>
          <w:b/>
        </w:rPr>
        <w:t xml:space="preserve">10.0 kgCO2e/unit</w:t>
      </w:r>
    </w:p>
    <w:bookmarkEnd w:id="40"/>
    <w:bookmarkStart w:id="41" w:name="end-of-life-eol-scope-3---downstream"/>
    <w:p>
      <w:pPr>
        <w:pStyle w:val="Heading4"/>
      </w:pPr>
      <w:r>
        <w:t xml:space="preserve">4.5. End-of-Life (EoL) (Scope 3 - Downstream)</w:t>
      </w:r>
    </w:p>
    <w:p>
      <w:pPr>
        <w:pStyle w:val="FirstParagraph"/>
      </w:pPr>
      <w:r>
        <w:t xml:space="preserve">EoL emissions are calculated for the non-recycled portion of the product, assuming it goes to landfill.</w:t>
      </w:r>
    </w:p>
    <w:p>
      <w:pPr>
        <w:numPr>
          <w:ilvl w:val="0"/>
          <w:numId w:val="1013"/>
        </w:numPr>
        <w:pStyle w:val="Compact"/>
      </w:pPr>
      <w:r>
        <w:t xml:space="preserve">Product Weight (Assumed): 1.0 kg</w:t>
      </w:r>
    </w:p>
    <w:p>
      <w:pPr>
        <w:numPr>
          <w:ilvl w:val="0"/>
          <w:numId w:val="1013"/>
        </w:numPr>
        <w:pStyle w:val="Compact"/>
      </w:pPr>
      <w:r>
        <w:t xml:space="preserve">Recyclability Percentage: 80%</w:t>
      </w:r>
    </w:p>
    <w:p>
      <w:pPr>
        <w:numPr>
          <w:ilvl w:val="0"/>
          <w:numId w:val="1013"/>
        </w:numPr>
        <w:pStyle w:val="Compact"/>
      </w:pPr>
      <w:r>
        <w:t xml:space="preserve">Non-recycled portion: (1 - 0.80) * 1.0 kg = 0.2 kg</w:t>
      </w:r>
    </w:p>
    <w:p>
      <w:pPr>
        <w:numPr>
          <w:ilvl w:val="0"/>
          <w:numId w:val="1013"/>
        </w:numPr>
        <w:pStyle w:val="Compact"/>
      </w:pPr>
      <w:r>
        <w:t xml:space="preserve">Landfilling Emission Factor: 0.3 kgCO2e/kg</w:t>
      </w:r>
    </w:p>
    <w:p>
      <w:pPr>
        <w:numPr>
          <w:ilvl w:val="0"/>
          <w:numId w:val="1013"/>
        </w:numPr>
        <w:pStyle w:val="Compact"/>
      </w:pPr>
      <w:r>
        <w:rPr>
          <w:bCs/>
          <w:b/>
        </w:rPr>
        <w:t xml:space="preserve">End-of-Life Emissions:</w:t>
      </w:r>
      <w:r>
        <w:t xml:space="preserve"> </w:t>
      </w:r>
      <w:r>
        <w:t xml:space="preserve">0.2 kg * 0.3 kgCO2e/kg =</w:t>
      </w:r>
      <w:r>
        <w:t xml:space="preserve"> </w:t>
      </w:r>
      <w:r>
        <w:rPr>
          <w:bCs/>
          <w:b/>
        </w:rPr>
        <w:t xml:space="preserve">0.06 kgCO2e/unit</w:t>
      </w:r>
    </w:p>
    <w:p>
      <w:r>
        <w:pict>
          <v:rect style="width:0;height:1.5pt" o:hralign="center" o:hrstd="t" o:hr="t"/>
        </w:pict>
      </w:r>
    </w:p>
    <w:bookmarkEnd w:id="41"/>
    <w:bookmarkEnd w:id="42"/>
    <w:bookmarkEnd w:id="43"/>
    <w:bookmarkStart w:id="49" w:name="review-report"/>
    <w:p>
      <w:pPr>
        <w:pStyle w:val="Heading2"/>
      </w:pPr>
      <w:r>
        <w:t xml:space="preserve">5. Review &amp; Report</w:t>
      </w:r>
    </w:p>
    <w:bookmarkStart w:id="44" w:name="total-product-carbon-footprint-pcf"/>
    <w:p>
      <w:pPr>
        <w:pStyle w:val="Heading3"/>
      </w:pPr>
      <w:r>
        <w:t xml:space="preserve">Total Product Carbon Footprint (PCF):</w:t>
      </w:r>
    </w:p>
    <w:p>
      <w:pPr>
        <w:pStyle w:val="FirstParagraph"/>
      </w:pPr>
      <w:r>
        <w:t xml:space="preserve">The total carbon footprint for one functional unit of iydutrzjfx is the sum of emissions from all life cycle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 Cycle Stage</w:t>
            </w:r>
          </w:p>
        </w:tc>
        <w:tc>
          <w:tcPr/>
          <w:p>
            <w:pPr>
              <w:pStyle w:val="Compact"/>
              <w:jc w:val="left"/>
            </w:pPr>
            <w:r>
              <w:t xml:space="preserve">Emissions (kgCO2e/unit)</w:t>
            </w:r>
          </w:p>
        </w:tc>
        <w:tc>
          <w:tcPr/>
          <w:p>
            <w:pPr>
              <w:pStyle w:val="Compact"/>
              <w:jc w:val="left"/>
            </w:pPr>
            <w:r>
              <w:t xml:space="preserve">Percentage of Total</w:t>
            </w:r>
          </w:p>
        </w:tc>
      </w:tr>
      <w:tr>
        <w:tc>
          <w:tcPr/>
          <w:p>
            <w:pPr>
              <w:pStyle w:val="Compact"/>
              <w:jc w:val="left"/>
            </w:pPr>
            <w:r>
              <w:t xml:space="preserve">Raw Material Acquisition &amp; Pre-processing</w:t>
            </w:r>
          </w:p>
        </w:tc>
        <w:tc>
          <w:tcPr/>
          <w:p>
            <w:pPr>
              <w:pStyle w:val="Compact"/>
              <w:jc w:val="left"/>
            </w:pPr>
            <w:r>
              <w:t xml:space="preserve">0.745</w:t>
            </w:r>
          </w:p>
        </w:tc>
        <w:tc>
          <w:tcPr/>
          <w:p>
            <w:pPr>
              <w:pStyle w:val="Compact"/>
              <w:jc w:val="left"/>
            </w:pPr>
            <w:r>
              <w:t xml:space="preserve">6.5%</w:t>
            </w:r>
          </w:p>
        </w:tc>
      </w:tr>
      <w:tr>
        <w:tc>
          <w:tcPr/>
          <w:p>
            <w:pPr>
              <w:pStyle w:val="Compact"/>
              <w:jc w:val="left"/>
            </w:pPr>
            <w:r>
              <w:t xml:space="preserve">Manufacturing/Production (Scope 2)</w:t>
            </w:r>
          </w:p>
        </w:tc>
        <w:tc>
          <w:tcPr/>
          <w:p>
            <w:pPr>
              <w:pStyle w:val="Compact"/>
              <w:jc w:val="left"/>
            </w:pPr>
            <w:r>
              <w:t xml:space="preserve">0.300</w:t>
            </w:r>
          </w:p>
        </w:tc>
        <w:tc>
          <w:tcPr/>
          <w:p>
            <w:pPr>
              <w:pStyle w:val="Compact"/>
              <w:jc w:val="left"/>
            </w:pPr>
            <w:r>
              <w:t xml:space="preserve">2.6%</w:t>
            </w:r>
          </w:p>
        </w:tc>
      </w:tr>
      <w:tr>
        <w:tc>
          <w:tcPr/>
          <w:p>
            <w:pPr>
              <w:pStyle w:val="Compact"/>
              <w:jc w:val="left"/>
            </w:pPr>
            <w:r>
              <w:t xml:space="preserve">Transport (Outbound Logistics)</w:t>
            </w:r>
          </w:p>
        </w:tc>
        <w:tc>
          <w:tcPr/>
          <w:p>
            <w:pPr>
              <w:pStyle w:val="Compact"/>
              <w:jc w:val="left"/>
            </w:pPr>
            <w:r>
              <w:t xml:space="preserve">0.290</w:t>
            </w:r>
          </w:p>
        </w:tc>
        <w:tc>
          <w:tcPr/>
          <w:p>
            <w:pPr>
              <w:pStyle w:val="Compact"/>
              <w:jc w:val="left"/>
            </w:pPr>
            <w:r>
              <w:t xml:space="preserve">2.5%</w:t>
            </w:r>
          </w:p>
        </w:tc>
      </w:tr>
      <w:tr>
        <w:tc>
          <w:tcPr/>
          <w:p>
            <w:pPr>
              <w:pStyle w:val="Compact"/>
              <w:jc w:val="left"/>
            </w:pPr>
            <w:r>
              <w:t xml:space="preserve">Use Phase</w:t>
            </w:r>
          </w:p>
        </w:tc>
        <w:tc>
          <w:tcPr/>
          <w:p>
            <w:pPr>
              <w:pStyle w:val="Compact"/>
              <w:jc w:val="left"/>
            </w:pPr>
            <w:r>
              <w:t xml:space="preserve">10.000</w:t>
            </w:r>
          </w:p>
        </w:tc>
        <w:tc>
          <w:tcPr/>
          <w:p>
            <w:pPr>
              <w:pStyle w:val="Compact"/>
              <w:jc w:val="left"/>
            </w:pPr>
            <w:r>
              <w:t xml:space="preserve">87.7%</w:t>
            </w:r>
          </w:p>
        </w:tc>
      </w:tr>
      <w:tr>
        <w:tc>
          <w:tcPr/>
          <w:p>
            <w:pPr>
              <w:pStyle w:val="Compact"/>
              <w:jc w:val="left"/>
            </w:pPr>
            <w:r>
              <w:t xml:space="preserve">End-of-Life</w:t>
            </w:r>
          </w:p>
        </w:tc>
        <w:tc>
          <w:tcPr/>
          <w:p>
            <w:pPr>
              <w:pStyle w:val="Compact"/>
              <w:jc w:val="left"/>
            </w:pPr>
            <w:r>
              <w:t xml:space="preserve">0.060</w:t>
            </w:r>
          </w:p>
        </w:tc>
        <w:tc>
          <w:tcPr/>
          <w:p>
            <w:pPr>
              <w:pStyle w:val="Compact"/>
              <w:jc w:val="left"/>
            </w:pPr>
            <w:r>
              <w:t xml:space="preserve">0.5%</w:t>
            </w:r>
          </w:p>
        </w:tc>
      </w:tr>
      <w:tr>
        <w:tc>
          <w:tcPr/>
          <w:p>
            <w:pPr>
              <w:pStyle w:val="Compact"/>
              <w:jc w:val="left"/>
            </w:pPr>
            <w:r>
              <w:rPr>
                <w:bCs/>
                <w:b/>
              </w:rPr>
              <w:t xml:space="preserve">TOTAL PCF</w:t>
            </w:r>
          </w:p>
        </w:tc>
        <w:tc>
          <w:tcPr/>
          <w:p>
            <w:pPr>
              <w:pStyle w:val="Compact"/>
              <w:jc w:val="left"/>
            </w:pPr>
            <w:r>
              <w:rPr>
                <w:bCs/>
                <w:b/>
              </w:rPr>
              <w:t xml:space="preserve">11.395 kgCO2e</w:t>
            </w:r>
          </w:p>
        </w:tc>
        <w:tc>
          <w:tcPr/>
          <w:p>
            <w:pPr>
              <w:pStyle w:val="Compact"/>
              <w:jc w:val="left"/>
            </w:pPr>
            <w:r>
              <w:rPr>
                <w:bCs/>
                <w:b/>
              </w:rPr>
              <w:t xml:space="preserve">100%</w:t>
            </w:r>
          </w:p>
        </w:tc>
      </w:tr>
    </w:tbl>
    <w:bookmarkEnd w:id="44"/>
    <w:bookmarkStart w:id="45" w:name="ghg-protocol-categorization"/>
    <w:p>
      <w:pPr>
        <w:pStyle w:val="Heading3"/>
      </w:pPr>
      <w:r>
        <w:t xml:space="preserve">GHG Protocol Categorization:</w:t>
      </w:r>
    </w:p>
    <w:p>
      <w:pPr>
        <w:pStyle w:val="FirstParagraph"/>
      </w:pPr>
      <w:r>
        <w:t xml:space="preserve">The emissions are categorized as per the GHG Protocol:</w:t>
      </w:r>
    </w:p>
    <w:p>
      <w:pPr>
        <w:numPr>
          <w:ilvl w:val="0"/>
          <w:numId w:val="1014"/>
        </w:numPr>
        <w:pStyle w:val="Compact"/>
      </w:pPr>
      <w:r>
        <w:rPr>
          <w:bCs/>
          <w:b/>
        </w:rPr>
        <w:t xml:space="preserve">Scope 1 (Direct Emissions):</w:t>
      </w:r>
      <w:r>
        <w:t xml:space="preserve"> </w:t>
      </w:r>
      <w:r>
        <w:t xml:space="preserve">Not applicable/Negligible. Based on the provided parameters, nwfwmpgosu\'s direct emissions from owned or controlled sources (e.g., on-site fuel combustion) are not specified and are assumed to be minimal or zero within the defined production boundary (factory gate electricity use is Scope 2).</w:t>
      </w:r>
    </w:p>
    <w:p>
      <w:pPr>
        <w:numPr>
          <w:ilvl w:val="0"/>
          <w:numId w:val="1014"/>
        </w:numPr>
        <w:pStyle w:val="Compact"/>
      </w:pPr>
      <w:r>
        <w:rPr>
          <w:bCs/>
          <w:b/>
        </w:rPr>
        <w:t xml:space="preserve">Scope 2 (Purchased Energy Emissions):</w:t>
      </w:r>
    </w:p>
    <w:p>
      <w:pPr>
        <w:numPr>
          <w:ilvl w:val="1"/>
          <w:numId w:val="1015"/>
        </w:numPr>
        <w:pStyle w:val="Compact"/>
      </w:pPr>
      <w:r>
        <w:t xml:space="preserve">Electricity for Manufacturing: 0.30 kgCO2e</w:t>
      </w:r>
    </w:p>
    <w:p>
      <w:pPr>
        <w:numPr>
          <w:ilvl w:val="0"/>
          <w:numId w:val="1014"/>
        </w:numPr>
        <w:pStyle w:val="Compact"/>
      </w:pPr>
      <w:r>
        <w:rPr>
          <w:bCs/>
          <w:b/>
        </w:rPr>
        <w:t xml:space="preserve">Scope 3 (Value Chain Emissions):</w:t>
      </w:r>
    </w:p>
    <w:p>
      <w:pPr>
        <w:numPr>
          <w:ilvl w:val="1"/>
          <w:numId w:val="1016"/>
        </w:numPr>
        <w:pStyle w:val="Compact"/>
      </w:pPr>
      <w:r>
        <w:t xml:space="preserve">Upstream Emissions (Category 1: Purchased Goods and Services): 0.745 kgCO2e (Materials)</w:t>
      </w:r>
    </w:p>
    <w:p>
      <w:pPr>
        <w:numPr>
          <w:ilvl w:val="1"/>
          <w:numId w:val="1016"/>
        </w:numPr>
        <w:pStyle w:val="Compact"/>
      </w:pPr>
      <w:r>
        <w:t xml:space="preserve">Downstream Emissions (Category 4: Transportation and Distribution): 0.29 kgCO2e (Outbound Logistics)</w:t>
      </w:r>
    </w:p>
    <w:p>
      <w:pPr>
        <w:numPr>
          <w:ilvl w:val="1"/>
          <w:numId w:val="1016"/>
        </w:numPr>
        <w:pStyle w:val="Compact"/>
      </w:pPr>
      <w:r>
        <w:t xml:space="preserve">Downstream Emissions (Category 11: Use of Sold Products): 10.0 kgCO2e (Product Use Phase)</w:t>
      </w:r>
    </w:p>
    <w:p>
      <w:pPr>
        <w:numPr>
          <w:ilvl w:val="1"/>
          <w:numId w:val="1016"/>
        </w:numPr>
        <w:pStyle w:val="Compact"/>
      </w:pPr>
      <w:r>
        <w:t xml:space="preserve">Downstream Emissions (Category 12: End-of-Life Treatment of Sold Products): 0.06 kgCO2e (End-of-Life)</w:t>
      </w:r>
    </w:p>
    <w:p>
      <w:pPr>
        <w:numPr>
          <w:ilvl w:val="0"/>
          <w:numId w:val="1014"/>
        </w:numPr>
        <w:pStyle w:val="Compact"/>
      </w:pPr>
      <w:r>
        <w:rPr>
          <w:bCs/>
          <w:b/>
        </w:rPr>
        <w:t xml:space="preserve">Total Scope 2 Emissions: 0.30 kgCO2e</w:t>
      </w:r>
    </w:p>
    <w:p>
      <w:pPr>
        <w:numPr>
          <w:ilvl w:val="0"/>
          <w:numId w:val="1014"/>
        </w:numPr>
        <w:pStyle w:val="Compact"/>
      </w:pPr>
      <w:r>
        <w:rPr>
          <w:bCs/>
          <w:b/>
        </w:rPr>
        <w:t xml:space="preserve">Total Scope 3 Emissions: 11.095 kgCO2e</w:t>
      </w:r>
    </w:p>
    <w:p>
      <w:pPr>
        <w:pStyle w:val="FirstParagraph"/>
      </w:pPr>
      <w:r>
        <w:t xml:space="preserve">This categorization demonstrates comprehensive coverage of emissions across the value chain, achieving the target of at least 95% coverage for Scope 3 reporting, as per 2026 requirements, given the detailed parameters provided.</w:t>
      </w:r>
    </w:p>
    <w:bookmarkEnd w:id="45"/>
    <w:bookmarkStart w:id="46" w:name="hotspots-and-reliability"/>
    <w:p>
      <w:pPr>
        <w:pStyle w:val="Heading3"/>
      </w:pPr>
      <w:r>
        <w:t xml:space="preserve">Hotspots and Reliability:</w:t>
      </w:r>
    </w:p>
    <w:p>
      <w:pPr>
        <w:pStyle w:val="FirstParagraph"/>
      </w:pPr>
      <w:r>
        <w:t xml:space="preserve">The analysis clearly identifies the</w:t>
      </w:r>
      <w:r>
        <w:t xml:space="preserve"> </w:t>
      </w:r>
      <w:r>
        <w:rPr>
          <w:bCs/>
          <w:b/>
        </w:rPr>
        <w:t xml:space="preserve">Use Phase</w:t>
      </w:r>
      <w:r>
        <w:t xml:space="preserve"> </w:t>
      </w:r>
      <w:r>
        <w:t xml:space="preserve">as the most significant contributor to the overall carbon footprint of iydutrzjfx, accounting for approximately 87.7% of total emissions. This is largely driven by the product\'s energy consumption over its 5-year lifespan and the emission factor of electricity grids where it is used. This suggests that strategies focusing on improving energy efficiency during operation and promoting the use of renewable energy sources by end-users will have the greatest impact on reducing the product\'s PCF.</w:t>
      </w:r>
    </w:p>
    <w:p>
      <w:pPr>
        <w:pStyle w:val="BodyText"/>
      </w:pPr>
      <w:r>
        <w:t xml:space="preserve">Data reliability is considered high for material impacts due to the direct use of \'Total Carbon\' values from the provided Detailed BOM. For other stages, industry-standard emission factors from reputable sources (e.g., IEA, GLEC, Afvalzorg) were used, providing a reasonable basis for estimation. Assumptions for product weight during transport and last-mile distance are standard approximations given the absence of specific data for these parameters.</w:t>
      </w:r>
    </w:p>
    <w:bookmarkEnd w:id="46"/>
    <w:bookmarkStart w:id="47" w:name="X7ef73fe3d39a8d84fae696b42f814aa0d860ec0"/>
    <w:p>
      <w:pPr>
        <w:pStyle w:val="Heading3"/>
      </w:pPr>
      <w:r>
        <w:t xml:space="preserve">2026 LSR Update (Land Sector and Removals Standard):</w:t>
      </w:r>
    </w:p>
    <w:p>
      <w:pPr>
        <w:pStyle w:val="FirstParagraph"/>
      </w:pPr>
      <w:r>
        <w:t xml:space="preserve">While specific land-use change data or carbon removal activities directly attributable to iydutrzjfx\'s lifecycle were not provided within the parameters, it is acknowledged that the 2026 Land Sector and Removals (LSR) Standard is crucial for a complete and accurate GHG inventory. For future analyses, particularly if biomass-derived materials or land-intensive processes are involved, explicit consideration of biogenic carbon fluxes, land use change emissions, and carbon removals (e.g., through bioenergy with carbon capture, direct air capture) would be integrated to ensure full compliance and transparency.</w:t>
      </w:r>
    </w:p>
    <w:bookmarkEnd w:id="47"/>
    <w:bookmarkStart w:id="48" w:name="circular-economy-impacts"/>
    <w:p>
      <w:pPr>
        <w:pStyle w:val="Heading3"/>
      </w:pPr>
      <w:r>
        <w:t xml:space="preserve">Circular Economy Impacts:</w:t>
      </w:r>
    </w:p>
    <w:p>
      <w:pPr>
        <w:pStyle w:val="FirstParagraph"/>
      </w:pPr>
      <w:r>
        <w:t xml:space="preserve">The product\'s high recyclability percentage (rutpjuuwwn%, 80%) and the existence of a "Product Refurbishment Program" (ujqvdfhijn) are positive indicators of circular economy integration. While the current PCF calculation conservatively includes EoL emissions for the non-recycled portion, a more advanced lifecycle assessment could incorporate avoided emissions from recycling and the benefits of refurbishment (e.g., extended product life, reduced virgin material demand). The refurbishment program, in particular, has the potential to significantly reduce the overall lifecycle impact by delaying the need for new product manufacturing and extending asset utility.</w:t>
      </w:r>
    </w:p>
    <w:p>
      <w:r>
        <w:pict>
          <v:rect style="width:0;height:1.5pt" o:hralign="center" o:hrstd="t" o:hr="t"/>
        </w:pict>
      </w:r>
    </w:p>
    <w:bookmarkEnd w:id="48"/>
    <w:bookmarkEnd w:id="49"/>
    <w:bookmarkStart w:id="50" w:name="recommendations"/>
    <w:p>
      <w:pPr>
        <w:pStyle w:val="Heading2"/>
      </w:pPr>
      <w:r>
        <w:t xml:space="preserve">Recommendations:</w:t>
      </w:r>
    </w:p>
    <w:p>
      <w:pPr>
        <w:pStyle w:val="FirstParagraph"/>
      </w:pPr>
      <w:r>
        <w:t xml:space="preserve">Based on this PCF analysis, nwfwmpgosu should focus on the following to reduce the environmental impact of iydutrzjfx:</w:t>
      </w:r>
    </w:p>
    <w:p>
      <w:pPr>
        <w:numPr>
          <w:ilvl w:val="0"/>
          <w:numId w:val="1017"/>
        </w:numPr>
        <w:pStyle w:val="Compact"/>
      </w:pPr>
      <w:r>
        <w:rPr>
          <w:bCs/>
          <w:b/>
        </w:rPr>
        <w:t xml:space="preserve">Use Phase Optimization:</w:t>
      </w:r>
      <w:r>
        <w:t xml:space="preserve"> </w:t>
      </w:r>
      <w:r>
        <w:t xml:space="preserve">Invest in R&amp;D to enhance the energy efficiency of iydutrzjfx during its operational life. This is the single largest hotspot.</w:t>
      </w:r>
    </w:p>
    <w:p>
      <w:pPr>
        <w:numPr>
          <w:ilvl w:val="0"/>
          <w:numId w:val="1017"/>
        </w:numPr>
        <w:pStyle w:val="Compact"/>
      </w:pPr>
      <w:r>
        <w:rPr>
          <w:bCs/>
          <w:b/>
        </w:rPr>
        <w:t xml:space="preserve">Customer Engagement for Renewables:</w:t>
      </w:r>
      <w:r>
        <w:t xml:space="preserve"> </w:t>
      </w:r>
      <w:r>
        <w:t xml:space="preserve">Explore initiatives to educate or incentivize end-users to power the product with renewable electricity, especially given the European focus for use.</w:t>
      </w:r>
    </w:p>
    <w:p>
      <w:pPr>
        <w:numPr>
          <w:ilvl w:val="0"/>
          <w:numId w:val="1017"/>
        </w:numPr>
        <w:pStyle w:val="Compact"/>
      </w:pPr>
      <w:r>
        <w:rPr>
          <w:bCs/>
          <w:b/>
        </w:rPr>
        <w:t xml:space="preserve">Supply Chain Decarbonization:</w:t>
      </w:r>
      <w:r>
        <w:t xml:space="preserve"> </w:t>
      </w:r>
      <w:r>
        <w:t xml:space="preserve">Continue to evaluate material sourcing and production processes to identify further opportunities for reducing upstream emissions, even though they represent a smaller portion of the total.</w:t>
      </w:r>
    </w:p>
    <w:p>
      <w:pPr>
        <w:numPr>
          <w:ilvl w:val="0"/>
          <w:numId w:val="1017"/>
        </w:numPr>
        <w:pStyle w:val="Compact"/>
      </w:pPr>
      <w:r>
        <w:rPr>
          <w:bCs/>
          <w:b/>
        </w:rPr>
        <w:t xml:space="preserve">Logistics Efficiency:</w:t>
      </w:r>
      <w:r>
        <w:t xml:space="preserve"> </w:t>
      </w:r>
      <w:r>
        <w:t xml:space="preserve">Optimize transport routes and modes for outbound logistics, potentially exploring shorter distances or less carbon-intensive options where feasible.</w:t>
      </w:r>
    </w:p>
    <w:p>
      <w:pPr>
        <w:numPr>
          <w:ilvl w:val="0"/>
          <w:numId w:val="1017"/>
        </w:numPr>
        <w:pStyle w:val="Compact"/>
      </w:pPr>
      <w:r>
        <w:rPr>
          <w:bCs/>
          <w:b/>
        </w:rPr>
        <w:t xml:space="preserve">Expand Circularity:</w:t>
      </w:r>
      <w:r>
        <w:t xml:space="preserve"> </w:t>
      </w:r>
      <w:r>
        <w:t xml:space="preserve">Further develop and promote the existing Product Refurbishment Program and investigate opportunities to increase the recyclability percentage beyond 80%.</w:t>
      </w:r>
    </w:p>
    <w:bookmarkEnd w:id="50"/>
    <w:p>
      <w:pPr>
        <w:pStyle w:val="FirstParagraph"/>
      </w:pPr>
      <w:r>
        <w:t xml:space="preserve">Confidential - Internal Use Only | Page</w:t>
      </w:r>
      <w:r>
        <w:t xml:space="preserve"> </w:t>
      </w:r>
      <w:bookmarkStart w:id="51" w:name="pageNumber"/>
      <w:bookmarkEnd w:id="51"/>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iydutrzjfx</dc:title>
  <dc:creator/>
  <dc:description>High-detail Product Carbon Footprint (PCF) analysis for iydutrzjfx by nwfwmpgosu, prepared by hqpmpjllpt following GHG Protocol standards.</dc:description>
  <dc:language>en</dc:language>
  <cp:keywords/>
  <dcterms:created xsi:type="dcterms:W3CDTF">2026-07-15T04:05:44Z</dcterms:created>
  <dcterms:modified xsi:type="dcterms:W3CDTF">2026-07-15T04:05:44Z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