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ixsjgeztwp</w:t>
      </w:r>
      <w:r>
        <w:t xml:space="preserve"> </w:t>
      </w:r>
      <w:r>
        <w:t xml:space="preserve">-</w:t>
      </w:r>
      <w:r>
        <w:t xml:space="preserve"> </w:t>
      </w:r>
      <w:r>
        <w:t xml:space="preserve">mdiierkqmz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ixsjgeztwp</w:t>
      </w:r>
    </w:p>
    <w:p>
      <w:pPr>
        <w:pStyle w:val="BodyText"/>
      </w:pPr>
      <w:r>
        <w:rPr>
          <w:bCs/>
          <w:b/>
        </w:rPr>
        <w:t xml:space="preserve">Company:</w:t>
      </w:r>
      <w:r>
        <w:t xml:space="preserve"> </w:t>
      </w:r>
      <w:r>
        <w:t xml:space="preserve">mdiierkqmz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kyuxvwjhvm</w:t>
      </w:r>
    </w:p>
    <w:p>
      <w:pPr>
        <w:pStyle w:val="BodyText"/>
      </w:pPr>
      <w:r>
        <w:t xml:space="preserve">This report is generated based on available data and industry standards. It provides an assessment of the product\'s carbon footprint based on the information provided at the time of analysis.</w:t>
      </w:r>
    </w:p>
    <w:bookmarkEnd w:id="20"/>
    <w:bookmarkStart w:id="39" w:name="X979e6b1442933b5d6a5137dfe98be8dcd718ed6"/>
    <w:p>
      <w:pPr>
        <w:pStyle w:val="Heading1"/>
      </w:pPr>
      <w:r>
        <w:t xml:space="preserve">Product Carbon Footprint (PCF) Analysis Report for ixsjgeztwp</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ixsjgeztwp</w:t>
      </w:r>
      <w:r>
        <w:t xml:space="preserve">, manufactured by</w:t>
      </w:r>
      <w:r>
        <w:t xml:space="preserve"> </w:t>
      </w:r>
      <w:r>
        <w:rPr>
          <w:bCs/>
          <w:b/>
        </w:rPr>
        <w:t xml:space="preserve">mdiierkqmz</w:t>
      </w:r>
      <w:r>
        <w:t xml:space="preserve">. The analysis, conducted by Senior Sustainability Consultant</w:t>
      </w:r>
      <w:r>
        <w:t xml:space="preserve"> </w:t>
      </w:r>
      <w:r>
        <w:rPr>
          <w:bCs/>
          <w:b/>
        </w:rPr>
        <w:t xml:space="preserve">kyuxvwjhvm</w:t>
      </w:r>
      <w:r>
        <w:t xml:space="preserve">, adheres strictly to the Greenhouse Gas (GHG) Protocol standards, incorporating the latest 2026 Land Sector and Removals (LSR) Standard updates and stringent Scope 3 compliance requirements. The primary goal is to quantify the total greenhouse gas emissions associated with the product\'s lifecycle from a \'factory-gate\' perspective, identify key emission hotspots, and provide a foundational understanding for future sustainability initiatives. All emissions are categorized into Scope 1, Scope 2, and Scope 3 as per GHG Protocol guidelines.</w:t>
      </w:r>
    </w:p>
    <w:p>
      <w:r>
        <w:pict>
          <v:rect style="width:0;height:1.5pt" o:hralign="center" o:hrstd="t" o:hr="t"/>
        </w:pict>
      </w:r>
    </w:p>
    <w:bookmarkEnd w:id="21"/>
    <w:bookmarkStart w:id="37" w:name="methodology"/>
    <w:p>
      <w:pPr>
        <w:pStyle w:val="Heading2"/>
      </w:pPr>
      <w:r>
        <w:t xml:space="preserve">Methodology</w:t>
      </w:r>
    </w:p>
    <w:p>
      <w:pPr>
        <w:pStyle w:val="FirstParagraph"/>
      </w:pPr>
      <w:r>
        <w:t xml:space="preserve">The Product Carbon Footprint (PCF) analysis for ixsjgeztwp follows a five-step methodology aligned with the GHG Protocol Product Standard and best practices in Life Cycle Assessment (LCA) to ensure accuracy, transparency, and comparability.</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ixsjgeztwp, serving as the reference basis for all quantified environmental impacts.</w:t>
      </w:r>
    </w:p>
    <w:p>
      <w:pPr>
        <w:numPr>
          <w:ilvl w:val="0"/>
          <w:numId w:val="1001"/>
        </w:numPr>
        <w:pStyle w:val="Compact"/>
      </w:pPr>
      <w:r>
        <w:rPr>
          <w:bCs/>
          <w:b/>
        </w:rPr>
        <w:t xml:space="preserve">System Boundary:</w:t>
      </w:r>
      <w:r>
        <w:t xml:space="preserve"> </w:t>
      </w:r>
      <w:r>
        <w:t xml:space="preserve">A \'factory-gate\' system boundary has been applied. This includes all greenhouse gas emissions from raw material extraction, processing, manufacturing, and transport up to the point the product leaves the mdiierkqmz factory in China. Emissions related to the use phase and end-of-life are also included, extending to a "cradle-to-grave" perspective despite the "factory_gate" label implying "cradle-to-gate". For PCF, all emissions related to a product\'s life cycle are typically included.</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The supply chain focus, particularly for upstream activities (raw materials, components), is</w:t>
      </w:r>
      <w:r>
        <w:t xml:space="preserve"> </w:t>
      </w:r>
      <w:r>
        <w:rPr>
          <w:bCs/>
          <w:b/>
        </w:rPr>
        <w:t xml:space="preserve">Europe Focused</w:t>
      </w:r>
      <w:r>
        <w:t xml:space="preserve">. This geographic specificity influences the selection of regional emission factors.</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w:t>
      </w:r>
    </w:p>
    <w:p>
      <w:pPr>
        <w:numPr>
          <w:ilvl w:val="0"/>
          <w:numId w:val="1001"/>
        </w:numPr>
        <w:pStyle w:val="Compact"/>
      </w:pPr>
      <w:r>
        <w:rPr>
          <w:bCs/>
          <w:b/>
        </w:rPr>
        <w:t xml:space="preserve">Allocation:</w:t>
      </w:r>
      <w:r>
        <w:t xml:space="preserve"> </w:t>
      </w:r>
      <w:r>
        <w:t xml:space="preserve">Where co-production or shared processes occur, emissions have been allocated to ixsjgeztwp using appropriate physical allocation methods (e.g., mass-based), ensuring that the calculated emissions are directly attributable to the functional unit.</w:t>
      </w:r>
    </w:p>
    <w:bookmarkEnd w:id="22"/>
    <w:bookmarkStart w:id="23" w:name="map-lifecycle-lci-inventory-stages"/>
    <w:p>
      <w:pPr>
        <w:pStyle w:val="Heading3"/>
      </w:pPr>
      <w:r>
        <w:t xml:space="preserve">2. Map Lifecycle (LCI Inventory Stages)</w:t>
      </w:r>
    </w:p>
    <w:p>
      <w:pPr>
        <w:pStyle w:val="FirstParagraph"/>
      </w:pPr>
      <w:r>
        <w:t xml:space="preserve">The lifecycle of ixsjgeztwp has been mapped to identify all relevant stages and associated processes that contribute to its carbon footprint.</w:t>
      </w:r>
    </w:p>
    <w:p>
      <w:pPr>
        <w:numPr>
          <w:ilvl w:val="0"/>
          <w:numId w:val="1002"/>
        </w:numPr>
        <w:pStyle w:val="Compact"/>
      </w:pPr>
      <w:r>
        <w:rPr>
          <w:bCs/>
          <w:b/>
        </w:rPr>
        <w:t xml:space="preserve">Raw Material Acquisition &amp; Pre-processing (Upstream Scope 3, Category 1 - Purchased Goods and Services):</w:t>
      </w:r>
      <w:r>
        <w:t xml:space="preserve"> </w:t>
      </w:r>
      <w:r>
        <w:t xml:space="preserve">This stage covers the extraction, initial processing, and manufacturing of all raw materials and components detailed in the Bill of Materials (BOM) before they arrive at mdiierkqmz\'s factory.</w:t>
      </w:r>
    </w:p>
    <w:p>
      <w:pPr>
        <w:numPr>
          <w:ilvl w:val="0"/>
          <w:numId w:val="1002"/>
        </w:numPr>
        <w:pStyle w:val="Compact"/>
      </w:pPr>
      <w:r>
        <w:rPr>
          <w:bCs/>
          <w:b/>
        </w:rPr>
        <w:t xml:space="preserve">Manufacturing (Scope 1 &amp; 2):</w:t>
      </w:r>
      <w:r>
        <w:t xml:space="preserve"> </w:t>
      </w:r>
      <w:r>
        <w:t xml:space="preserve">This includes all energy consumption and direct process emissions occurring at mdiierkqmz\'s production facility in China for the assembly and finishing of ixsjgeztwp.</w:t>
      </w:r>
    </w:p>
    <w:p>
      <w:pPr>
        <w:numPr>
          <w:ilvl w:val="0"/>
          <w:numId w:val="1002"/>
        </w:numPr>
        <w:pStyle w:val="Compact"/>
      </w:pPr>
      <w:r>
        <w:rPr>
          <w:bCs/>
          <w:b/>
        </w:rPr>
        <w:t xml:space="preserve">Transport &amp; Distribution (Upstream/Downstream Scope 3, Category 4 - Upstream Transportation &amp; Distribution, Category 9 - Downstream Transportation &amp; Distribution):</w:t>
      </w:r>
      <w:r>
        <w:t xml:space="preserve"> </w:t>
      </w:r>
      <w:r>
        <w:t xml:space="preserve">This encompasses the transportation of raw materials and components to the factory (upstream) and the transportation of the finished product to the customer, including last-mile delivery (downstream).</w:t>
      </w:r>
    </w:p>
    <w:p>
      <w:pPr>
        <w:numPr>
          <w:ilvl w:val="0"/>
          <w:numId w:val="1002"/>
        </w:numPr>
        <w:pStyle w:val="Compact"/>
      </w:pPr>
      <w:r>
        <w:rPr>
          <w:bCs/>
          <w:b/>
        </w:rPr>
        <w:t xml:space="preserve">Use Phase (Downstream Scope 3, Category 11 - Use of Sold Products):</w:t>
      </w:r>
      <w:r>
        <w:t xml:space="preserve"> </w:t>
      </w:r>
      <w:r>
        <w:t xml:space="preserve">This stage accounts for emissions generated during the typical usage of ixsjgeztwp by the end-user over its lifespan.</w:t>
      </w:r>
    </w:p>
    <w:p>
      <w:pPr>
        <w:numPr>
          <w:ilvl w:val="0"/>
          <w:numId w:val="1002"/>
        </w:numPr>
        <w:pStyle w:val="Compact"/>
      </w:pPr>
      <w:r>
        <w:rPr>
          <w:bCs/>
          <w:b/>
        </w:rPr>
        <w:t xml:space="preserve">End-of-Life (Downstream Scope 3, Category 12 - End-of-Life Treatment of Sold Products):</w:t>
      </w:r>
      <w:r>
        <w:t xml:space="preserve"> </w:t>
      </w:r>
      <w:r>
        <w:t xml:space="preserve">This covers emissions and potential credits/avoided emissions from the disposal, recycling, or recovery processes of ixsjgeztwp at the end of its functional life.</w:t>
      </w:r>
    </w:p>
    <w:bookmarkEnd w:id="23"/>
    <w:bookmarkStart w:id="29" w:name="Xb57f50a89bf1f3f1837369be949d9d60d6c1272"/>
    <w:p>
      <w:pPr>
        <w:pStyle w:val="Heading3"/>
      </w:pPr>
      <w:r>
        <w:t xml:space="preserve">3. Collect Data (Primary/Secondary Data Points)</w:t>
      </w:r>
    </w:p>
    <w:p>
      <w:pPr>
        <w:pStyle w:val="FirstParagraph"/>
      </w:pPr>
      <w:r>
        <w:t xml:space="preserve">Data collection is a crucial step, leveraging both primary and secondary data sources to ensure a robust and accurate PCF.</w:t>
      </w:r>
    </w:p>
    <w:bookmarkStart w:id="24" w:name="detailed-bill-of-materials-bom-tmqttzsv"/>
    <w:p>
      <w:pPr>
        <w:pStyle w:val="Heading4"/>
      </w:pPr>
      <w:r>
        <w:t xml:space="preserve">Detailed Bill of Materials (BOM): tmqttzsv</w:t>
      </w:r>
    </w:p>
    <w:p>
      <w:pPr>
        <w:pStyle w:val="FirstParagraph"/>
      </w:pPr>
      <w:r>
        <w:t xml:space="preserve">The provided Detailed Bill of Materials (BOM) for ixsjgeztwp (referenced as</w:t>
      </w:r>
      <w:r>
        <w:t xml:space="preserve"> </w:t>
      </w:r>
      <w:r>
        <w:rPr>
          <w:bCs/>
          <w:b/>
        </w:rPr>
        <w:t xml:space="preserve">tmqttzsv</w:t>
      </w:r>
      <w:r>
        <w:t xml:space="preserve">) has been used for high-accuracy material impact calculation. The \'Total Carbon\' column in the BOM is assumed to represent the pre-calculated carbon footprint (CO2e) of each material item, including its raw material extraction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(Example)</w:t>
            </w:r>
          </w:p>
        </w:tc>
        <w:tc>
          <w:tcPr/>
          <w:p>
            <w:pPr>
              <w:pStyle w:val="Compact"/>
              <w:jc w:val="left"/>
            </w:pPr>
            <w:r>
              <w:t xml:space="preserve">Total Carbon (CO2e)</w:t>
            </w:r>
          </w:p>
        </w:tc>
      </w:tr>
      <w:tr>
        <w:tc>
          <w:tcPr/>
          <w:p>
            <w:pPr>
              <w:pStyle w:val="Compact"/>
              <w:jc w:val="left"/>
            </w:pPr>
            <w:r>
              <w:t xml:space="preserve">M001</w:t>
            </w:r>
          </w:p>
        </w:tc>
        <w:tc>
          <w:tcPr/>
          <w:p>
            <w:pPr>
              <w:pStyle w:val="Compact"/>
              <w:jc w:val="left"/>
            </w:pPr>
            <w:r>
              <w:t xml:space="preserve">Recycled Aluminum Sheet</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2.50 kgCO2e</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 kgCO2e/kg</w:t>
            </w:r>
          </w:p>
        </w:tc>
        <w:tc>
          <w:tcPr/>
          <w:p>
            <w:pPr>
              <w:pStyle w:val="Compact"/>
              <w:jc w:val="left"/>
            </w:pPr>
            <w:r>
              <w:t xml:space="preserve">0.64 kgCO2e</w:t>
            </w:r>
          </w:p>
        </w:tc>
      </w:tr>
      <w:tr>
        <w:tc>
          <w:tcPr/>
          <w:p>
            <w:pPr>
              <w:pStyle w:val="Compact"/>
              <w:jc w:val="left"/>
            </w:pPr>
            <w:r>
              <w:t xml:space="preserve">S003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 kgCO2e/kg</w:t>
            </w:r>
          </w:p>
        </w:tc>
        <w:tc>
          <w:tcPr/>
          <w:p>
            <w:pPr>
              <w:pStyle w:val="Compact"/>
              <w:jc w:val="left"/>
            </w:pPr>
            <w:r>
              <w:t xml:space="preserve">1.50 kgCO2e</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0.40 kgCO2e</w:t>
            </w:r>
          </w:p>
        </w:tc>
      </w:tr>
      <w:tr>
        <w:tc>
          <w:tcPr/>
          <w:p>
            <w:pPr>
              <w:pStyle w:val="Compact"/>
              <w:jc w:val="left"/>
            </w:pPr>
            <w:r>
              <w:t xml:space="preserve">PK05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Box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 kgCO2e/kg</w:t>
            </w:r>
          </w:p>
        </w:tc>
        <w:tc>
          <w:tcPr/>
          <w:p>
            <w:pPr>
              <w:pStyle w:val="Compact"/>
              <w:jc w:val="left"/>
            </w:pPr>
            <w:r>
              <w:t xml:space="preserve">0.24 kgCO2e</w:t>
            </w:r>
          </w:p>
        </w:tc>
      </w:tr>
    </w:tbl>
    <w:bookmarkEnd w:id="24"/>
    <w:bookmarkStart w:id="25" w:name="energy-inputs-for-production"/>
    <w:p>
      <w:pPr>
        <w:pStyle w:val="Heading4"/>
      </w:pPr>
      <w:r>
        <w:t xml:space="preserve">Energy Inputs for Production</w:t>
      </w:r>
    </w:p>
    <w:p>
      <w:pPr>
        <w:numPr>
          <w:ilvl w:val="0"/>
          <w:numId w:val="1003"/>
        </w:numPr>
        <w:pStyle w:val="Compact"/>
      </w:pPr>
      <w:r>
        <w:rPr>
          <w:bCs/>
          <w:b/>
        </w:rPr>
        <w:t xml:space="preserve">Renewable Energy Usage:</w:t>
      </w:r>
      <w:r>
        <w:t xml:space="preserve"> </w:t>
      </w:r>
      <w:r>
        <w:t xml:space="preserve">The facility\'s renewable energy usage,</w:t>
      </w:r>
      <w:r>
        <w:t xml:space="preserve"> </w:t>
      </w:r>
      <w:r>
        <w:rPr>
          <w:bCs/>
          <w:b/>
        </w:rPr>
        <w:t xml:space="preserve">zslhkekmkj</w:t>
      </w:r>
      <w:r>
        <w:t xml:space="preserve">, is a critical factor in calculating the Scope 2 emissions. This percentage indicates the proportion of electricity purchased from renewable sources, reducing the grid\'s carbon intensity for the consumed energy.</w:t>
      </w:r>
    </w:p>
    <w:p>
      <w:pPr>
        <w:numPr>
          <w:ilvl w:val="0"/>
          <w:numId w:val="1003"/>
        </w:numPr>
        <w:pStyle w:val="Compact"/>
      </w:pPr>
      <w:r>
        <w:rPr>
          <w:bCs/>
          <w:b/>
        </w:rPr>
        <w:t xml:space="preserve">Energy Intensity (kWh/unit):</w:t>
      </w:r>
      <w:r>
        <w:t xml:space="preserve"> </w:t>
      </w:r>
      <w:r>
        <w:t xml:space="preserve">The energy intensity for producing one unit of ixsjgeztwp is</w:t>
      </w:r>
      <w:r>
        <w:t xml:space="preserve"> </w:t>
      </w:r>
      <w:r>
        <w:rPr>
          <w:bCs/>
          <w:b/>
        </w:rPr>
        <w:t xml:space="preserve">hnuodljegd kWh/unit</w:t>
      </w:r>
      <w:r>
        <w:t xml:space="preserve">. This primary data point is directly multiplied by the relevant emission factor for electricity to determine the production energy footprint.</w:t>
      </w:r>
    </w:p>
    <w:bookmarkEnd w:id="25"/>
    <w:bookmarkStart w:id="26" w:name="transport-data"/>
    <w:p>
      <w:pPr>
        <w:pStyle w:val="Heading4"/>
      </w:pPr>
      <w:r>
        <w:t xml:space="preserve">Transport Data</w:t>
      </w:r>
    </w:p>
    <w:p>
      <w:pPr>
        <w:numPr>
          <w:ilvl w:val="0"/>
          <w:numId w:val="1004"/>
        </w:numPr>
        <w:pStyle w:val="Compact"/>
      </w:pPr>
      <w:r>
        <w:rPr>
          <w:bCs/>
          <w:b/>
        </w:rPr>
        <w:t xml:space="preserve">Transport Mode:</w:t>
      </w:r>
      <w:r>
        <w:t xml:space="preserve"> </w:t>
      </w:r>
      <w:r>
        <w:t xml:space="preserve">The primary transport mode for both upstream and downstream logistics is</w:t>
      </w:r>
      <w:r>
        <w:t xml:space="preserve"> </w:t>
      </w:r>
      <w:r>
        <w:rPr>
          <w:bCs/>
          <w:b/>
        </w:rPr>
        <w:t xml:space="preserve">Select Mode</w:t>
      </w:r>
      <w:r>
        <w:t xml:space="preserve">. The specific emissions factor for this mode will be applied (e.g., kgCO2e/tonne-km for freight).</w:t>
      </w:r>
    </w:p>
    <w:p>
      <w:pPr>
        <w:numPr>
          <w:ilvl w:val="0"/>
          <w:numId w:val="1004"/>
        </w:numPr>
        <w:pStyle w:val="Compact"/>
      </w:pPr>
      <w:r>
        <w:rPr>
          <w:bCs/>
          <w:b/>
        </w:rPr>
        <w:t xml:space="preserve">Transport Distance:</w:t>
      </w:r>
      <w:r>
        <w:t xml:space="preserve"> </w:t>
      </w:r>
      <w:r>
        <w:t xml:space="preserve">A total transport distance of</w:t>
      </w:r>
      <w:r>
        <w:t xml:space="preserve"> </w:t>
      </w:r>
      <w:r>
        <w:rPr>
          <w:bCs/>
          <w:b/>
        </w:rPr>
        <w:t xml:space="preserve">ppvdsmkpln</w:t>
      </w:r>
      <w:r>
        <w:t xml:space="preserve"> </w:t>
      </w:r>
      <w:r>
        <w:t xml:space="preserve">is considered for the relevant stages (e.g., raw material inbound, finished product outbound). This distance, combined with the transport mode and product weight, will enable the calculation of transport-related emissions.</w:t>
      </w:r>
    </w:p>
    <w:p>
      <w:pPr>
        <w:numPr>
          <w:ilvl w:val="0"/>
          <w:numId w:val="1004"/>
        </w:numPr>
        <w:pStyle w:val="Compact"/>
      </w:pPr>
      <w:r>
        <w:rPr>
          <w:bCs/>
          <w:b/>
        </w:rPr>
        <w:t xml:space="preserve">Last-Mile Delivery Channel:</w:t>
      </w:r>
      <w:r>
        <w:t xml:space="preserve"> </w:t>
      </w:r>
      <w:r>
        <w:t xml:space="preserve">The last-mile delivery channel is specified as</w:t>
      </w:r>
      <w:r>
        <w:t xml:space="preserve"> </w:t>
      </w:r>
      <w:r>
        <w:rPr>
          <w:bCs/>
          <w:b/>
        </w:rPr>
        <w:t xml:space="preserve">Delivery Type</w:t>
      </w:r>
      <w:r>
        <w:t xml:space="preserve">. This detail helps to select appropriate emission factors for the final leg of product distribution, which can vary significantly depending on the vehicle type and efficiency.</w:t>
      </w:r>
    </w:p>
    <w:bookmarkEnd w:id="26"/>
    <w:bookmarkStart w:id="27"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The anticipated lifespan of ixsjgeztwp is</w:t>
      </w:r>
      <w:r>
        <w:t xml:space="preserve"> </w:t>
      </w:r>
      <w:r>
        <w:rPr>
          <w:bCs/>
          <w:b/>
        </w:rPr>
        <w:t xml:space="preserve">jyjyrwzeqk</w:t>
      </w:r>
      <w:r>
        <w:t xml:space="preserve">. This duration is crucial for annualizing energy consumption during use, especially for products with significant energy requirements.</w:t>
      </w:r>
    </w:p>
    <w:p>
      <w:pPr>
        <w:numPr>
          <w:ilvl w:val="0"/>
          <w:numId w:val="1005"/>
        </w:numPr>
        <w:pStyle w:val="Compact"/>
      </w:pPr>
      <w:r>
        <w:rPr>
          <w:bCs/>
          <w:b/>
        </w:rPr>
        <w:t xml:space="preserve">Energy Consumption in Use:</w:t>
      </w:r>
      <w:r>
        <w:t xml:space="preserve"> </w:t>
      </w:r>
      <w:r>
        <w:t xml:space="preserve">The energy consumed by ixsjgeztwp during its operational life is</w:t>
      </w:r>
      <w:r>
        <w:t xml:space="preserve"> </w:t>
      </w:r>
      <w:r>
        <w:rPr>
          <w:bCs/>
          <w:b/>
        </w:rPr>
        <w:t xml:space="preserve">wpigdwszqi</w:t>
      </w:r>
      <w:r>
        <w:t xml:space="preserve">. This value will be integrated over the product\'s lifespan to determine the total energy use phase emissions. (Note: The unit of wpigdwszqi is assumed to be an energy unit per lifespan, e.g., kWh/jyjyrwzeqk).</w:t>
      </w:r>
    </w:p>
    <w:bookmarkEnd w:id="27"/>
    <w:bookmarkStart w:id="28"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The recyclability percentage of ixsjgeztwp is</w:t>
      </w:r>
      <w:r>
        <w:t xml:space="preserve"> </w:t>
      </w:r>
      <w:r>
        <w:rPr>
          <w:bCs/>
          <w:b/>
        </w:rPr>
        <w:t xml:space="preserve">ktvwmfgsql%</w:t>
      </w:r>
      <w:r>
        <w:t xml:space="preserve">. This figure will be used to estimate emissions (or avoided emissions) from material recovery, applying appropriate end-of-life treatment emission factors.</w:t>
      </w:r>
    </w:p>
    <w:p>
      <w:pPr>
        <w:numPr>
          <w:ilvl w:val="0"/>
          <w:numId w:val="1006"/>
        </w:numPr>
        <w:pStyle w:val="Compact"/>
      </w:pPr>
      <w:r>
        <w:rPr>
          <w:bCs/>
          <w:b/>
        </w:rPr>
        <w:t xml:space="preserve">Circular/Take-back Programs:</w:t>
      </w:r>
      <w:r>
        <w:t xml:space="preserve"> </w:t>
      </w:r>
      <w:r>
        <w:t xml:space="preserve">The existence of</w:t>
      </w:r>
      <w:r>
        <w:t xml:space="preserve"> </w:t>
      </w:r>
      <w:r>
        <w:rPr>
          <w:bCs/>
          <w:b/>
        </w:rPr>
        <w:t xml:space="preserve">ffoqneojls</w:t>
      </w:r>
      <w:r>
        <w:t xml:space="preserve"> </w:t>
      </w:r>
      <w:r>
        <w:t xml:space="preserve">circular/take-back programs is noted. These programs can significantly influence the end-of-life impact by diverting waste from landfills and promoting material reuse or high-value recycling, which will be qualitatively and, where data permits, quantitatively reflected in the EoL calculations.</w:t>
      </w:r>
    </w:p>
    <w:p>
      <w:r>
        <w:pict>
          <v:rect style="width:0;height:1.5pt" o:hralign="center" o:hrstd="t" o:hr="t"/>
        </w:pict>
      </w:r>
    </w:p>
    <w:bookmarkEnd w:id="28"/>
    <w:bookmarkEnd w:id="29"/>
    <w:bookmarkStart w:id="35" w:name="Xb404f6bea4a0013006ec7a9103609d9ea6643c1"/>
    <w:p>
      <w:pPr>
        <w:pStyle w:val="Heading3"/>
      </w:pPr>
      <w:r>
        <w:t xml:space="preserve">4. Calculate Emissions (Activity * Emission Factor = CO2e)</w:t>
      </w:r>
    </w:p>
    <w:p>
      <w:pPr>
        <w:pStyle w:val="FirstParagraph"/>
      </w:pPr>
      <w:r>
        <w:t xml:space="preserve">Emissions are calculated by multiplying the activity data (e.g., kg of material, kWh of energy, tonne-km of transport) by their respective emission factors (e.g., kgCO2e/kg, kgCO2e/kWh, kgCO2e/tonne-km). The results are expressed in carbon dioxide equivalents (CO2e), encompassing all relevant greenhouse gases (CO2, CH4, N2O, HFCs, PFCs, SF6, NF3).</w:t>
      </w:r>
    </w:p>
    <w:bookmarkStart w:id="30" w:name="ghg-protocol-scope-categorization"/>
    <w:p>
      <w:pPr>
        <w:pStyle w:val="Heading4"/>
      </w:pPr>
      <w:r>
        <w:t xml:space="preserve">GHG Protocol Scope Categorization</w:t>
      </w:r>
    </w:p>
    <w:p>
      <w:pPr>
        <w:pStyle w:val="FirstParagraph"/>
      </w:pPr>
      <w:r>
        <w:t xml:space="preserve">Emissions are categorized according to the GHG Protocol:</w:t>
      </w:r>
    </w:p>
    <w:p>
      <w:pPr>
        <w:numPr>
          <w:ilvl w:val="0"/>
          <w:numId w:val="1007"/>
        </w:numPr>
        <w:pStyle w:val="Compact"/>
      </w:pPr>
      <w:r>
        <w:rPr>
          <w:bCs/>
          <w:b/>
        </w:rPr>
        <w:t xml:space="preserve">Scope 1: Direct Emissions</w:t>
      </w:r>
      <w:r>
        <w:t xml:space="preserve"> </w:t>
      </w:r>
      <w:r>
        <w:t xml:space="preserve">– Emissions from sources owned or controlled by mdiierkqmz. For this factory-gate boundary, this primarily includes direct fuel combustion in manufacturing processes (if any) and fugitive emissions from owned assets.</w:t>
      </w:r>
    </w:p>
    <w:p>
      <w:pPr>
        <w:numPr>
          <w:ilvl w:val="0"/>
          <w:numId w:val="1007"/>
        </w:numPr>
        <w:pStyle w:val="Compact"/>
      </w:pPr>
      <w:r>
        <w:rPr>
          <w:bCs/>
          <w:b/>
        </w:rPr>
        <w:t xml:space="preserve">Scope 2: Indirect Emissions from Purchased Energy</w:t>
      </w:r>
      <w:r>
        <w:t xml:space="preserve"> </w:t>
      </w:r>
      <w:r>
        <w:t xml:space="preserve">– Emissions from the generation of purchased electricity, steam, heat, or cooling consumed by mdiierkqmz\'s factory. The renewable energy usage (</w:t>
      </w:r>
      <w:r>
        <w:rPr>
          <w:bCs/>
          <w:b/>
        </w:rPr>
        <w:t xml:space="preserve">zslhkekmkj</w:t>
      </w:r>
      <w:r>
        <w:t xml:space="preserve">) will directly impact this calculation.</w:t>
      </w:r>
    </w:p>
    <w:p>
      <w:pPr>
        <w:numPr>
          <w:ilvl w:val="0"/>
          <w:numId w:val="1007"/>
        </w:numPr>
        <w:pStyle w:val="Compact"/>
      </w:pPr>
      <w:r>
        <w:rPr>
          <w:bCs/>
          <w:b/>
        </w:rPr>
        <w:t xml:space="preserve">Scope 3: Other Indirect Emissions</w:t>
      </w:r>
      <w:r>
        <w:t xml:space="preserve"> </w:t>
      </w:r>
      <w:r>
        <w:t xml:space="preserve">– All other indirect emissions occurring in the value chain, both upstream and downstream. For most companies, Scope 3 typically accounts for the majority of the total carbon footprint.</w:t>
      </w:r>
    </w:p>
    <w:p>
      <w:pPr>
        <w:numPr>
          <w:ilvl w:val="1"/>
          <w:numId w:val="1008"/>
        </w:numPr>
        <w:pStyle w:val="Compact"/>
      </w:pPr>
      <w:r>
        <w:rPr>
          <w:bCs/>
          <w:b/>
        </w:rPr>
        <w:t xml:space="preserve">Upstream Scope 3:</w:t>
      </w:r>
    </w:p>
    <w:p>
      <w:pPr>
        <w:numPr>
          <w:ilvl w:val="2"/>
          <w:numId w:val="1009"/>
        </w:numPr>
        <w:pStyle w:val="Compact"/>
      </w:pPr>
      <w:r>
        <w:rPr>
          <w:bCs/>
          <w:b/>
        </w:rPr>
        <w:t xml:space="preserve">Category 1 - Purchased Goods and Services:</w:t>
      </w:r>
      <w:r>
        <w:t xml:space="preserve"> </w:t>
      </w:r>
      <w:r>
        <w:t xml:space="preserve">Emissions from the production of raw materials and components (from</w:t>
      </w:r>
      <w:r>
        <w:t xml:space="preserve"> </w:t>
      </w:r>
      <w:r>
        <w:rPr>
          <w:bCs/>
          <w:b/>
        </w:rPr>
        <w:t xml:space="preserve">tmqttzsv</w:t>
      </w:r>
      <w:r>
        <w:t xml:space="preserve">).</w:t>
      </w:r>
    </w:p>
    <w:p>
      <w:pPr>
        <w:numPr>
          <w:ilvl w:val="2"/>
          <w:numId w:val="1009"/>
        </w:numPr>
        <w:pStyle w:val="Compact"/>
      </w:pPr>
      <w:r>
        <w:rPr>
          <w:bCs/>
          <w:b/>
        </w:rPr>
        <w:t xml:space="preserve">Category 4 - Upstream Transportation and Distribution:</w:t>
      </w:r>
      <w:r>
        <w:t xml:space="preserve"> </w:t>
      </w:r>
      <w:r>
        <w:t xml:space="preserve">Emissions from transporting raw materials and components to the factory (based on</w:t>
      </w:r>
      <w:r>
        <w:t xml:space="preserve"> </w:t>
      </w:r>
      <w:r>
        <w:rPr>
          <w:bCs/>
          <w:b/>
        </w:rPr>
        <w:t xml:space="preserve">Select Mode</w:t>
      </w:r>
      <w:r>
        <w:t xml:space="preserve"> </w:t>
      </w:r>
      <w:r>
        <w:t xml:space="preserve">and</w:t>
      </w:r>
      <w:r>
        <w:t xml:space="preserve"> </w:t>
      </w:r>
      <w:r>
        <w:rPr>
          <w:bCs/>
          <w:b/>
        </w:rPr>
        <w:t xml:space="preserve">ppvdsmkpln</w:t>
      </w:r>
      <w:r>
        <w:t xml:space="preserve">).</w:t>
      </w:r>
    </w:p>
    <w:p>
      <w:pPr>
        <w:numPr>
          <w:ilvl w:val="2"/>
          <w:numId w:val="1009"/>
        </w:numPr>
        <w:pStyle w:val="Compact"/>
      </w:pPr>
      <w:r>
        <w:rPr>
          <w:bCs/>
          <w:b/>
        </w:rPr>
        <w:t xml:space="preserve">Other relevant upstream categories:</w:t>
      </w:r>
      <w:r>
        <w:t xml:space="preserve"> </w:t>
      </w:r>
      <w:r>
        <w:t xml:space="preserve">e.g., waste generated in operations (Category 5).</w:t>
      </w:r>
    </w:p>
    <w:p>
      <w:pPr>
        <w:numPr>
          <w:ilvl w:val="1"/>
          <w:numId w:val="1008"/>
        </w:numPr>
        <w:pStyle w:val="Compact"/>
      </w:pPr>
      <w:r>
        <w:rPr>
          <w:bCs/>
          <w:b/>
        </w:rPr>
        <w:t xml:space="preserve">Downstream Scope 3:</w:t>
      </w:r>
    </w:p>
    <w:p>
      <w:pPr>
        <w:numPr>
          <w:ilvl w:val="2"/>
          <w:numId w:val="1010"/>
        </w:numPr>
        <w:pStyle w:val="Compact"/>
      </w:pPr>
      <w:r>
        <w:rPr>
          <w:bCs/>
          <w:b/>
        </w:rPr>
        <w:t xml:space="preserve">Category 9 - Downstream Transportation and Distribution:</w:t>
      </w:r>
      <w:r>
        <w:t xml:space="preserve"> </w:t>
      </w:r>
      <w:r>
        <w:t xml:space="preserve">Emissions from transporting the finished product to the customer (based on</w:t>
      </w:r>
      <w:r>
        <w:t xml:space="preserve"> </w:t>
      </w:r>
      <w:r>
        <w:rPr>
          <w:bCs/>
          <w:b/>
        </w:rPr>
        <w:t xml:space="preserve">Select Mode</w:t>
      </w:r>
      <w:r>
        <w:t xml:space="preserve">,</w:t>
      </w:r>
      <w:r>
        <w:t xml:space="preserve"> </w:t>
      </w:r>
      <w:r>
        <w:rPr>
          <w:bCs/>
          <w:b/>
        </w:rPr>
        <w:t xml:space="preserve">ppvdsmkpln</w:t>
      </w:r>
      <w:r>
        <w:t xml:space="preserve">, and</w:t>
      </w:r>
      <w:r>
        <w:t xml:space="preserve"> </w:t>
      </w:r>
      <w:r>
        <w:rPr>
          <w:bCs/>
          <w:b/>
        </w:rPr>
        <w:t xml:space="preserve">Delivery Type</w:t>
      </w:r>
      <w:r>
        <w:t xml:space="preserve">).</w:t>
      </w:r>
    </w:p>
    <w:p>
      <w:pPr>
        <w:numPr>
          <w:ilvl w:val="2"/>
          <w:numId w:val="1010"/>
        </w:numPr>
        <w:pStyle w:val="Compact"/>
      </w:pPr>
      <w:r>
        <w:rPr>
          <w:bCs/>
          <w:b/>
        </w:rPr>
        <w:t xml:space="preserve">Category 11 - Use of Sold Products:</w:t>
      </w:r>
      <w:r>
        <w:t xml:space="preserve"> </w:t>
      </w:r>
      <w:r>
        <w:t xml:space="preserve">Emissions from the energy consumption during the product\'s lifespan (based on</w:t>
      </w:r>
      <w:r>
        <w:t xml:space="preserve"> </w:t>
      </w:r>
      <w:r>
        <w:rPr>
          <w:bCs/>
          <w:b/>
        </w:rPr>
        <w:t xml:space="preserve">jyjyrwzeqk</w:t>
      </w:r>
      <w:r>
        <w:t xml:space="preserve"> </w:t>
      </w:r>
      <w:r>
        <w:t xml:space="preserve">and</w:t>
      </w:r>
      <w:r>
        <w:t xml:space="preserve"> </w:t>
      </w:r>
      <w:r>
        <w:rPr>
          <w:bCs/>
          <w:b/>
        </w:rPr>
        <w:t xml:space="preserve">wpigdwszqi</w:t>
      </w:r>
      <w:r>
        <w:t xml:space="preserve">).</w:t>
      </w:r>
    </w:p>
    <w:p>
      <w:pPr>
        <w:numPr>
          <w:ilvl w:val="2"/>
          <w:numId w:val="1010"/>
        </w:numPr>
        <w:pStyle w:val="Compact"/>
      </w:pPr>
      <w:r>
        <w:rPr>
          <w:bCs/>
          <w:b/>
        </w:rPr>
        <w:t xml:space="preserve">Category 12 - End-of-Life Treatment of Sold Products:</w:t>
      </w:r>
      <w:r>
        <w:t xml:space="preserve"> </w:t>
      </w:r>
      <w:r>
        <w:t xml:space="preserve">Emissions/avoided emissions from recycling and disposal (based on</w:t>
      </w:r>
      <w:r>
        <w:t xml:space="preserve"> </w:t>
      </w:r>
      <w:r>
        <w:rPr>
          <w:bCs/>
          <w:b/>
        </w:rPr>
        <w:t xml:space="preserve">ktvwmfgsql</w:t>
      </w:r>
      <w:r>
        <w:t xml:space="preserve"> </w:t>
      </w:r>
      <w:r>
        <w:t xml:space="preserve">and</w:t>
      </w:r>
      <w:r>
        <w:t xml:space="preserve"> </w:t>
      </w:r>
      <w:r>
        <w:rPr>
          <w:bCs/>
          <w:b/>
        </w:rPr>
        <w:t xml:space="preserve">ffoqneojls</w:t>
      </w:r>
      <w:r>
        <w:t xml:space="preserve">).</w:t>
      </w:r>
    </w:p>
    <w:bookmarkEnd w:id="30"/>
    <w:bookmarkStart w:id="31" w:name="X504f4a86e01fdcfa46a4589bb1b5e0cfaad8629"/>
    <w:p>
      <w:pPr>
        <w:pStyle w:val="Heading4"/>
      </w:pPr>
      <w:r>
        <w:t xml:space="preserve">2026 Land Sector and Removals (LSR) Standard Update</w:t>
      </w:r>
    </w:p>
    <w:p>
      <w:pPr>
        <w:pStyle w:val="FirstParagraph"/>
      </w:pPr>
      <w:r>
        <w:t xml:space="preserve">This analysis applies the</w:t>
      </w:r>
      <w:r>
        <w:t xml:space="preserve"> </w:t>
      </w:r>
      <w:r>
        <w:rPr>
          <w:bCs/>
          <w:b/>
        </w:rPr>
        <w:t xml:space="preserve">GHG Protocol Land Sector and Removals (LSR) Standard</w:t>
      </w:r>
      <w:r>
        <w:t xml:space="preserve">, which became effective on January 1, 2027. This standard provides accounting requirements and guidance for quantifying, reporting, and tracking land emissions, CO2 removals, and other key metrics, particularly for companies with land sector activities in their operations or value chain. If ixsjgeztwp\'s supply chain involves significant agricultural products or land-use change, these impacts will be accounted for under the LSR Standard, specifically addressing emissions from land use change, land management net biogenic CO2 emissions, and land management production emissions (e.g., from livestock or fertilizer use). The standard also provides guidance for technological CO2 removals where applicable.</w:t>
      </w:r>
    </w:p>
    <w:bookmarkEnd w:id="31"/>
    <w:bookmarkStart w:id="32" w:name="scope-3-compliance-95-coverage"/>
    <w:p>
      <w:pPr>
        <w:pStyle w:val="Heading4"/>
      </w:pPr>
      <w:r>
        <w:t xml:space="preserve">Scope 3 Compliance: 95% Coverage</w:t>
      </w:r>
    </w:p>
    <w:p>
      <w:pPr>
        <w:pStyle w:val="FirstParagraph"/>
      </w:pPr>
      <w:r>
        <w:t xml:space="preserve">In line with the 2026 GHG Protocol Scope 3 requirements, this report aims for at least</w:t>
      </w:r>
      <w:r>
        <w:t xml:space="preserve"> </w:t>
      </w:r>
      <w:r>
        <w:rPr>
          <w:bCs/>
          <w:b/>
        </w:rPr>
        <w:t xml:space="preserve">95% coverage</w:t>
      </w:r>
      <w:r>
        <w:t xml:space="preserve"> </w:t>
      </w:r>
      <w:r>
        <w:t xml:space="preserve">of total relevant Scope 3 emissions to claim conformance. This necessitates a comprehensive mapping of all value chain activities to identify and quantify significant emission sources, moving away from "best-effort" estimates towards a financial-grade, auditable system. Data disaggregation by source type (primary vs. secondary) will be crucial for demonstrating data quality and compliance.</w:t>
      </w:r>
    </w:p>
    <w:bookmarkEnd w:id="32"/>
    <w:bookmarkStart w:id="33" w:name="emission-factors"/>
    <w:p>
      <w:pPr>
        <w:pStyle w:val="Heading4"/>
      </w:pPr>
      <w:r>
        <w:t xml:space="preserve">Emission Factors</w:t>
      </w:r>
    </w:p>
    <w:p>
      <w:pPr>
        <w:pStyle w:val="FirstParagraph"/>
      </w:pPr>
      <w:r>
        <w:t xml:space="preserve">Industry-standard emission factors are crucial for converting activity data into CO2e.</w:t>
      </w:r>
    </w:p>
    <w:p>
      <w:pPr>
        <w:numPr>
          <w:ilvl w:val="0"/>
          <w:numId w:val="1011"/>
        </w:numPr>
        <w:pStyle w:val="Compact"/>
      </w:pPr>
      <w:r>
        <w:rPr>
          <w:bCs/>
          <w:b/>
        </w:rPr>
        <w:t xml:space="preserve">Ecoinvent Database:</w:t>
      </w:r>
      <w:r>
        <w:t xml:space="preserve"> </w:t>
      </w:r>
      <w:r>
        <w:t xml:space="preserve">The ecoinvent database is a primary source for high-quality, science-based life cycle inventory (LCI) data, including emission factors for various industrial sectors, materials (metals, plastics), and transport. It is particularly valuable for comprehensive Scope 3 reporting and filling data gaps with regional or global average factors.</w:t>
      </w:r>
    </w:p>
    <w:p>
      <w:pPr>
        <w:numPr>
          <w:ilvl w:val="0"/>
          <w:numId w:val="1011"/>
        </w:numPr>
        <w:pStyle w:val="Compact"/>
      </w:pPr>
      <w:r>
        <w:rPr>
          <w:bCs/>
          <w:b/>
        </w:rPr>
        <w:t xml:space="preserve">DEFRA Conversion Factors:</w:t>
      </w:r>
      <w:r>
        <w:t xml:space="preserve"> </w:t>
      </w:r>
      <w:r>
        <w:t xml:space="preserve">The UK Department for Energy Security and Net Zero (DESNZ), formerly DEFRA, publishes comprehensive GHG emission factors, particularly useful for electricity, fuels, transport, and waste in the UK and often applied to European operations. The 2025 and 2026 updates reflect recent decarbonization shifts in energy and transport.</w:t>
      </w:r>
    </w:p>
    <w:p>
      <w:pPr>
        <w:pStyle w:val="FirstParagraph"/>
      </w:pPr>
      <w:r>
        <w:rPr>
          <w:iCs/>
          <w:i/>
        </w:rPr>
        <w:t xml:space="preserve">Note: Due to the placeholder nature of the input parameters, specific numerical calculations for total emissions are not performed in this report. The methodology outlines how these calculations would be conducted with actual data.</w:t>
      </w:r>
    </w:p>
    <w:bookmarkEnd w:id="33"/>
    <w:bookmarkStart w:id="34" w:name="X4134c55f8ae2a40adf4a47154f8636c4f0f57a9"/>
    <w:p>
      <w:pPr>
        <w:pStyle w:val="Heading4"/>
      </w:pPr>
      <w:r>
        <w:t xml:space="preserve">Aggregated Emissions by Scope (Illustrative Table Structure)</w:t>
      </w:r>
    </w:p>
    <w:p>
      <w:pPr>
        <w:pStyle w:val="FirstParagraph"/>
      </w:pPr>
      <w:r>
        <w:t xml:space="preserve">Below is an illustrative table structure demonstrating how the aggregated emissions would be presented by scope. Actual figures would be populated upon completion of data collection and calculation.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Estimated CO2e (kgCO2e/unit)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[Value]</w:t>
            </w:r>
          </w:p>
        </w:tc>
        <w:tc>
          <w:tcPr/>
          <w:p>
            <w:pPr>
              <w:pStyle w:val="Compact"/>
              <w:jc w:val="left"/>
            </w:pPr>
            <w:r>
              <w:t xml:space="preserve">[Value]%</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[Value]</w:t>
            </w:r>
          </w:p>
        </w:tc>
        <w:tc>
          <w:tcPr/>
          <w:p>
            <w:pPr>
              <w:pStyle w:val="Compact"/>
              <w:jc w:val="left"/>
            </w:pPr>
            <w:r>
              <w:t xml:space="preserve">[Value]%</w:t>
            </w:r>
          </w:p>
        </w:tc>
      </w:tr>
      <w:tr>
        <w:tc>
          <w:tcPr>
            <w:vMerge w:val="restart"/>
          </w:tcPr>
          <w:p>
            <w:pPr>
              <w:pStyle w:val="Compact"/>
              <w:jc w:val="left"/>
            </w:pPr>
            <w:r>
              <w:t xml:space="preserve">Scope 3</w:t>
            </w:r>
          </w:p>
        </w:tc>
        <w:tc>
          <w:tcPr/>
          <w:p>
            <w:pPr>
              <w:pStyle w:val="Compact"/>
              <w:jc w:val="left"/>
            </w:pPr>
            <w:r>
              <w:t xml:space="preserve">Raw Material Acquisition &amp; Pre-processing</w:t>
            </w:r>
          </w:p>
        </w:tc>
        <w:tc>
          <w:tcPr/>
          <w:p>
            <w:pPr>
              <w:pStyle w:val="Compact"/>
              <w:jc w:val="left"/>
            </w:pPr>
            <w:r>
              <w:t xml:space="preserve">[Value]</w:t>
            </w:r>
          </w:p>
        </w:tc>
        <w:tc>
          <w:tcPr/>
          <w:p>
            <w:pPr>
              <w:pStyle w:val="Compact"/>
              <w:jc w:val="left"/>
            </w:pPr>
            <w:r>
              <w:t xml:space="preserve">[Value]%</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[Value]</w:t>
            </w:r>
          </w:p>
        </w:tc>
        <w:tc>
          <w:tcPr/>
          <w:p>
            <w:pPr>
              <w:pStyle w:val="Compact"/>
              <w:jc w:val="left"/>
            </w:pPr>
            <w:r>
              <w:t xml:space="preserve">[Value]%</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[Value]</w:t>
            </w:r>
          </w:p>
        </w:tc>
        <w:tc>
          <w:tcPr/>
          <w:p>
            <w:pPr>
              <w:pStyle w:val="Compact"/>
              <w:jc w:val="left"/>
            </w:pPr>
            <w:r>
              <w:t xml:space="preserve">[Value]%</w:t>
            </w:r>
          </w:p>
        </w:tc>
      </w:tr>
      <w:tr>
        <w:tc>
          <w:tcPr>
            <w:gridSpan w:val="1"/>
            <w:vMerge w:val="continue"/>
          </w:tcPr>
          <w:p>
            <w:pPr/>
          </w:p>
        </w:tc>
        <w:tc>
          <w:tcPr/>
          <w:p>
            <w:pPr>
              <w:pStyle w:val="Compact"/>
              <w:jc w:val="left"/>
            </w:pPr>
            <w:r>
              <w:t xml:space="preserve">Use Phase</w:t>
            </w:r>
          </w:p>
        </w:tc>
        <w:tc>
          <w:tcPr/>
          <w:p>
            <w:pPr>
              <w:pStyle w:val="Compact"/>
              <w:jc w:val="left"/>
            </w:pPr>
            <w:r>
              <w:t xml:space="preserve">[Value]</w:t>
            </w:r>
          </w:p>
        </w:tc>
        <w:tc>
          <w:tcPr/>
          <w:p>
            <w:pPr>
              <w:pStyle w:val="Compact"/>
              <w:jc w:val="left"/>
            </w:pPr>
            <w:r>
              <w:t xml:space="preserve">[Value]%</w:t>
            </w:r>
          </w:p>
        </w:tc>
      </w:tr>
      <w:tr>
        <w:tc>
          <w:tcPr>
            <w:gridSpan w:val="1"/>
            <w:vMerge w:val="continue"/>
          </w:tcPr>
          <w:p>
            <w:pPr/>
          </w:p>
        </w:tc>
        <w:tc>
          <w:tcPr/>
          <w:p>
            <w:pPr>
              <w:pStyle w:val="Compact"/>
              <w:jc w:val="left"/>
            </w:pPr>
            <w:r>
              <w:t xml:space="preserve">End-of-Life Treatment</w:t>
            </w:r>
          </w:p>
        </w:tc>
        <w:tc>
          <w:tcPr/>
          <w:p>
            <w:pPr>
              <w:pStyle w:val="Compact"/>
              <w:jc w:val="left"/>
            </w:pPr>
            <w:r>
              <w:t xml:space="preserve">[Value]</w:t>
            </w:r>
          </w:p>
        </w:tc>
        <w:tc>
          <w:tcPr/>
          <w:p>
            <w:pPr>
              <w:pStyle w:val="Compact"/>
              <w:jc w:val="left"/>
            </w:pPr>
            <w:r>
              <w:t xml:space="preserve">[Value]%</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[Total Value] kgCO2e/unit</w:t>
            </w:r>
          </w:p>
        </w:tc>
        <w:tc>
          <w:tcPr/>
          <w:p>
            <w:pPr>
              <w:pStyle w:val="Compact"/>
              <w:jc w:val="left"/>
            </w:pPr>
            <w:r>
              <w:rPr>
                <w:bCs/>
                <w:b/>
              </w:rPr>
              <w:t xml:space="preserve">100%</w:t>
            </w:r>
          </w:p>
        </w:tc>
      </w:tr>
    </w:tbl>
    <w:p>
      <w:r>
        <w:pict>
          <v:rect style="width:0;height:1.5pt" o:hralign="center" o:hrstd="t" o:hr="t"/>
        </w:pict>
      </w:r>
    </w:p>
    <w:bookmarkEnd w:id="34"/>
    <w:bookmarkEnd w:id="35"/>
    <w:bookmarkStart w:id="36" w:name="review-report"/>
    <w:p>
      <w:pPr>
        <w:pStyle w:val="Heading3"/>
      </w:pPr>
      <w:r>
        <w:t xml:space="preserve">5. Review &amp; Report</w:t>
      </w:r>
    </w:p>
    <w:p>
      <w:pPr>
        <w:pStyle w:val="FirstParagraph"/>
      </w:pPr>
      <w:r>
        <w:t xml:space="preserve">Upon completion of the calculations, the results would undergo a thorough review to identify emission hotspots—areas within the product\'s lifecycle with the highest carbon impact. The reliability of the data sources (primary vs. secondary) and the assumptions made would also be assessed and documented. This step ensures that the PCF is robust and actionable, enabling mdiierkqmz to prioritize reduction strategies effectively.</w:t>
      </w:r>
    </w:p>
    <w:p>
      <w:r>
        <w:pict>
          <v:rect style="width:0;height:1.5pt" o:hralign="center" o:hrstd="t" o:hr="t"/>
        </w:pict>
      </w:r>
    </w:p>
    <w:bookmarkEnd w:id="36"/>
    <w:bookmarkEnd w:id="37"/>
    <w:bookmarkStart w:id="38" w:name="hotspot-analysis-recommendations"/>
    <w:p>
      <w:pPr>
        <w:pStyle w:val="Heading2"/>
      </w:pPr>
      <w:r>
        <w:t xml:space="preserve">Hotspot Analysis &amp; Recommendations</w:t>
      </w:r>
    </w:p>
    <w:p>
      <w:pPr>
        <w:pStyle w:val="FirstParagraph"/>
      </w:pPr>
      <w:r>
        <w:t xml:space="preserve">Based on the detailed PCF analysis, a hotspot analysis would identify the most significant contributors to ixsjgeztwp\'s carbon footprint. Typical hotspots for manufactured products often include raw material extraction and processing (due to material intensity or energy-intensive production), high-energy manufacturing processes, or long-distance transportation.</w:t>
      </w:r>
    </w:p>
    <w:p>
      <w:pPr>
        <w:pStyle w:val="BodyText"/>
      </w:pPr>
      <w:r>
        <w:t xml:space="preserve">Key recommendations would focus on:</w:t>
      </w:r>
    </w:p>
    <w:p>
      <w:pPr>
        <w:numPr>
          <w:ilvl w:val="0"/>
          <w:numId w:val="1012"/>
        </w:numPr>
        <w:pStyle w:val="Compact"/>
      </w:pPr>
      <w:r>
        <w:rPr>
          <w:bCs/>
          <w:b/>
        </w:rPr>
        <w:t xml:space="preserve">Material Optimization:</w:t>
      </w:r>
      <w:r>
        <w:t xml:space="preserve"> </w:t>
      </w:r>
      <w:r>
        <w:t xml:space="preserve">Exploring alternative materials with lower embedded carbon or increasing the recycled content beyond</w:t>
      </w:r>
      <w:r>
        <w:t xml:space="preserve"> </w:t>
      </w:r>
      <w:r>
        <w:rPr>
          <w:bCs/>
          <w:b/>
        </w:rPr>
        <w:t xml:space="preserve">ktvwmfgsql%</w:t>
      </w:r>
      <w:r>
        <w:t xml:space="preserve">.</w:t>
      </w:r>
    </w:p>
    <w:p>
      <w:pPr>
        <w:numPr>
          <w:ilvl w:val="0"/>
          <w:numId w:val="1012"/>
        </w:numPr>
        <w:pStyle w:val="Compact"/>
      </w:pPr>
      <w:r>
        <w:rPr>
          <w:bCs/>
          <w:b/>
        </w:rPr>
        <w:t xml:space="preserve">Energy Efficiency &amp; Renewables:</w:t>
      </w:r>
      <w:r>
        <w:t xml:space="preserve"> </w:t>
      </w:r>
      <w:r>
        <w:t xml:space="preserve">Further decarbonizing the manufacturing process by increasing renewable energy procurement above</w:t>
      </w:r>
      <w:r>
        <w:t xml:space="preserve"> </w:t>
      </w:r>
      <w:r>
        <w:rPr>
          <w:bCs/>
          <w:b/>
        </w:rPr>
        <w:t xml:space="preserve">zslhkekmkj</w:t>
      </w:r>
      <w:r>
        <w:t xml:space="preserve"> </w:t>
      </w:r>
      <w:r>
        <w:t xml:space="preserve">or investing in on-site renewable energy generation.</w:t>
      </w:r>
    </w:p>
    <w:p>
      <w:pPr>
        <w:numPr>
          <w:ilvl w:val="0"/>
          <w:numId w:val="1012"/>
        </w:numPr>
        <w:pStyle w:val="Compact"/>
      </w:pPr>
      <w:r>
        <w:rPr>
          <w:bCs/>
          <w:b/>
        </w:rPr>
        <w:t xml:space="preserve">Logistics Optimization:</w:t>
      </w:r>
      <w:r>
        <w:t xml:space="preserve"> </w:t>
      </w:r>
      <w:r>
        <w:t xml:space="preserve">Investigating more efficient transport modes, optimizing routes (reducing</w:t>
      </w:r>
      <w:r>
        <w:t xml:space="preserve"> </w:t>
      </w:r>
      <w:r>
        <w:rPr>
          <w:bCs/>
          <w:b/>
        </w:rPr>
        <w:t xml:space="preserve">ppvdsmkpln</w:t>
      </w:r>
      <w:r>
        <w:t xml:space="preserve">), and consolidating shipments.</w:t>
      </w:r>
    </w:p>
    <w:p>
      <w:pPr>
        <w:numPr>
          <w:ilvl w:val="0"/>
          <w:numId w:val="1012"/>
        </w:numPr>
        <w:pStyle w:val="Compact"/>
      </w:pPr>
      <w:r>
        <w:rPr>
          <w:bCs/>
          <w:b/>
        </w:rPr>
        <w:t xml:space="preserve">Product Design for Circularity:</w:t>
      </w:r>
      <w:r>
        <w:t xml:space="preserve"> </w:t>
      </w:r>
      <w:r>
        <w:t xml:space="preserve">Enhancing product durability to extend</w:t>
      </w:r>
      <w:r>
        <w:t xml:space="preserve"> </w:t>
      </w:r>
      <w:r>
        <w:rPr>
          <w:bCs/>
          <w:b/>
        </w:rPr>
        <w:t xml:space="preserve">jyjyrwzeqk</w:t>
      </w:r>
      <w:r>
        <w:t xml:space="preserve"> </w:t>
      </w:r>
      <w:r>
        <w:t xml:space="preserve">lifespan and improving recyclability, supported by expanding</w:t>
      </w:r>
      <w:r>
        <w:t xml:space="preserve"> </w:t>
      </w:r>
      <w:r>
        <w:rPr>
          <w:bCs/>
          <w:b/>
        </w:rPr>
        <w:t xml:space="preserve">ffoqneojls</w:t>
      </w:r>
      <w:r>
        <w:t xml:space="preserve"> </w:t>
      </w:r>
      <w:r>
        <w:t xml:space="preserve">circular/take-back programs.</w:t>
      </w:r>
    </w:p>
    <w:p>
      <w:pPr>
        <w:numPr>
          <w:ilvl w:val="0"/>
          <w:numId w:val="1012"/>
        </w:numPr>
        <w:pStyle w:val="Compact"/>
      </w:pPr>
      <w:r>
        <w:rPr>
          <w:bCs/>
          <w:b/>
        </w:rPr>
        <w:t xml:space="preserve">Supply Chain Engagement:</w:t>
      </w:r>
      <w:r>
        <w:t xml:space="preserve"> </w:t>
      </w:r>
      <w:r>
        <w:t xml:space="preserve">Collaborating with suppliers to gather primary data and implement emission reduction initiatives upstream.</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ixsjgeztwp - mdiierkqmz</dc:title>
  <dc:creator/>
  <dc:description>A high-detail Product Carbon Footprint (PCF) analysis report for ixsjgeztwp, adhering to GHG Protocol standards and 2026 updates, for company mdiierkqmz.</dc:description>
  <dc:language>en</dc:language>
  <cp:keywords/>
  <dcterms:created xsi:type="dcterms:W3CDTF">2026-07-15T04:36:20Z</dcterms:created>
  <dcterms:modified xsi:type="dcterms:W3CDTF">2026-07-15T04:36:20Z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